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FBD" w:rsidRDefault="0043160D">
      <w:pPr>
        <w:rPr>
          <w:rFonts w:ascii="Times New Roman" w:hAnsi="Times New Roman" w:cs="Times New Roman"/>
          <w:sz w:val="36"/>
          <w:szCs w:val="36"/>
        </w:rPr>
      </w:pPr>
      <w:r w:rsidRPr="0043160D">
        <w:rPr>
          <w:rFonts w:ascii="Times New Roman" w:hAnsi="Times New Roman" w:cs="Times New Roman"/>
          <w:sz w:val="36"/>
          <w:szCs w:val="36"/>
        </w:rPr>
        <w:t>Bilag til Aktindsigt i interne dokumenter</w:t>
      </w:r>
      <w:r>
        <w:rPr>
          <w:rFonts w:ascii="Times New Roman" w:hAnsi="Times New Roman" w:cs="Times New Roman"/>
          <w:sz w:val="36"/>
          <w:szCs w:val="36"/>
        </w:rPr>
        <w:t xml:space="preserve"> – styresignal</w:t>
      </w:r>
    </w:p>
    <w:p w:rsidR="0043160D" w:rsidRDefault="0043160D">
      <w:pPr>
        <w:rPr>
          <w:rFonts w:ascii="Times New Roman" w:hAnsi="Times New Roman" w:cs="Times New Roman"/>
          <w:sz w:val="36"/>
          <w:szCs w:val="36"/>
        </w:rPr>
      </w:pPr>
    </w:p>
    <w:p w:rsidR="0043160D" w:rsidRDefault="0043160D" w:rsidP="0043160D">
      <w:pPr>
        <w:autoSpaceDE w:val="0"/>
        <w:autoSpaceDN w:val="0"/>
        <w:adjustRightInd w:val="0"/>
        <w:spacing w:before="100" w:after="100" w:line="240" w:lineRule="auto"/>
        <w:rPr>
          <w:rFonts w:ascii="Times New Roman" w:hAnsi="Times New Roman" w:cs="Times New Roman"/>
          <w:sz w:val="24"/>
          <w:szCs w:val="24"/>
        </w:rPr>
      </w:pPr>
      <w:r w:rsidRPr="00810D13">
        <w:rPr>
          <w:rFonts w:ascii="Times New Roman" w:hAnsi="Times New Roman" w:cs="Times New Roman"/>
          <w:sz w:val="24"/>
          <w:szCs w:val="24"/>
        </w:rPr>
        <w:t>Interne dokumenter er som udgangspunkt undtaget fra aktindsigt</w:t>
      </w:r>
      <w:r>
        <w:rPr>
          <w:rFonts w:ascii="Times New Roman" w:hAnsi="Times New Roman" w:cs="Times New Roman"/>
          <w:sz w:val="24"/>
          <w:szCs w:val="24"/>
        </w:rPr>
        <w:t xml:space="preserve"> efter følgende regler</w:t>
      </w:r>
      <w:r>
        <w:rPr>
          <w:rFonts w:ascii="Times New Roman" w:hAnsi="Times New Roman" w:cs="Times New Roman"/>
          <w:sz w:val="24"/>
          <w:szCs w:val="24"/>
        </w:rPr>
        <w:t>:</w:t>
      </w:r>
      <w:r w:rsidRPr="00810D13">
        <w:rPr>
          <w:rFonts w:ascii="Times New Roman" w:hAnsi="Times New Roman" w:cs="Times New Roman"/>
          <w:sz w:val="24"/>
          <w:szCs w:val="24"/>
        </w:rPr>
        <w:t xml:space="preserve"> </w:t>
      </w:r>
    </w:p>
    <w:p w:rsidR="0043160D" w:rsidRPr="00371A09" w:rsidRDefault="0043160D" w:rsidP="0043160D">
      <w:pPr>
        <w:autoSpaceDE w:val="0"/>
        <w:autoSpaceDN w:val="0"/>
        <w:adjustRightInd w:val="0"/>
        <w:spacing w:before="100" w:after="100" w:line="240" w:lineRule="auto"/>
        <w:rPr>
          <w:rFonts w:ascii="Times New Roman" w:hAnsi="Times New Roman" w:cs="Times New Roman"/>
          <w:i/>
          <w:sz w:val="24"/>
          <w:szCs w:val="24"/>
        </w:rPr>
      </w:pPr>
      <w:r w:rsidRPr="00371A09">
        <w:rPr>
          <w:rFonts w:ascii="Times New Roman" w:hAnsi="Times New Roman" w:cs="Times New Roman"/>
          <w:i/>
          <w:sz w:val="24"/>
          <w:szCs w:val="24"/>
        </w:rPr>
        <w:t>Forvaltningsloven</w:t>
      </w:r>
    </w:p>
    <w:p w:rsidR="0043160D" w:rsidRDefault="0043160D" w:rsidP="0043160D">
      <w:pPr>
        <w:autoSpaceDE w:val="0"/>
        <w:autoSpaceDN w:val="0"/>
        <w:adjustRightInd w:val="0"/>
        <w:spacing w:before="100" w:after="100" w:line="240" w:lineRule="auto"/>
        <w:ind w:left="1304"/>
        <w:rPr>
          <w:rFonts w:ascii="Times New Roman" w:hAnsi="Times New Roman" w:cs="Times New Roman"/>
          <w:sz w:val="24"/>
          <w:szCs w:val="24"/>
        </w:rPr>
      </w:pPr>
      <w:r>
        <w:rPr>
          <w:rFonts w:ascii="Times New Roman" w:hAnsi="Times New Roman" w:cs="Times New Roman"/>
          <w:sz w:val="24"/>
          <w:szCs w:val="24"/>
        </w:rPr>
        <w:t xml:space="preserve">§ 12. </w:t>
      </w:r>
      <w:r w:rsidRPr="00371A09">
        <w:rPr>
          <w:rFonts w:ascii="Times New Roman" w:hAnsi="Times New Roman" w:cs="Times New Roman"/>
          <w:sz w:val="24"/>
          <w:szCs w:val="24"/>
        </w:rPr>
        <w:t>Retten til aktindsigt omfatter ikke en myndigheds interne arbejdsdokumenter. Som interne arbejdsdokumenter anses dokumenter, der ikke er afgivet til udenforstående.</w:t>
      </w:r>
    </w:p>
    <w:p w:rsidR="0043160D" w:rsidRDefault="0043160D" w:rsidP="0043160D">
      <w:pPr>
        <w:autoSpaceDE w:val="0"/>
        <w:autoSpaceDN w:val="0"/>
        <w:adjustRightInd w:val="0"/>
        <w:spacing w:before="100" w:after="100" w:line="240" w:lineRule="auto"/>
        <w:ind w:left="1304"/>
        <w:rPr>
          <w:rFonts w:ascii="Times New Roman" w:hAnsi="Times New Roman" w:cs="Times New Roman"/>
          <w:sz w:val="24"/>
          <w:szCs w:val="24"/>
        </w:rPr>
      </w:pPr>
      <w:r w:rsidRPr="00371A09">
        <w:rPr>
          <w:rFonts w:ascii="Times New Roman" w:hAnsi="Times New Roman" w:cs="Times New Roman"/>
          <w:sz w:val="24"/>
          <w:szCs w:val="24"/>
        </w:rPr>
        <w:t>Stk. 2. Dokumenter omfattet af stk. 1, der afgives til udenforstående, mister deres interne karakter, medmindre afgivelsen sker af retlige grunde, til forskningsmæssig brug eller af andre lignende grunde.</w:t>
      </w:r>
    </w:p>
    <w:p w:rsidR="0043160D" w:rsidRPr="00371A09" w:rsidRDefault="0043160D" w:rsidP="0043160D">
      <w:pPr>
        <w:autoSpaceDE w:val="0"/>
        <w:autoSpaceDN w:val="0"/>
        <w:adjustRightInd w:val="0"/>
        <w:spacing w:before="100" w:after="100" w:line="240" w:lineRule="auto"/>
        <w:rPr>
          <w:rFonts w:ascii="Times New Roman" w:hAnsi="Times New Roman" w:cs="Times New Roman"/>
          <w:i/>
          <w:sz w:val="24"/>
          <w:szCs w:val="24"/>
        </w:rPr>
      </w:pPr>
      <w:r w:rsidRPr="00371A09">
        <w:rPr>
          <w:rFonts w:ascii="Times New Roman" w:hAnsi="Times New Roman" w:cs="Times New Roman"/>
          <w:i/>
          <w:sz w:val="24"/>
          <w:szCs w:val="24"/>
        </w:rPr>
        <w:t>Offentlighedsloven</w:t>
      </w:r>
    </w:p>
    <w:p w:rsidR="0043160D" w:rsidRPr="00371A09" w:rsidRDefault="0043160D" w:rsidP="0043160D">
      <w:pPr>
        <w:autoSpaceDE w:val="0"/>
        <w:autoSpaceDN w:val="0"/>
        <w:adjustRightInd w:val="0"/>
        <w:spacing w:before="100" w:after="100" w:line="240" w:lineRule="auto"/>
        <w:ind w:left="1304"/>
        <w:rPr>
          <w:rFonts w:ascii="Times New Roman" w:hAnsi="Times New Roman" w:cs="Times New Roman"/>
          <w:sz w:val="24"/>
          <w:szCs w:val="24"/>
        </w:rPr>
      </w:pPr>
      <w:r>
        <w:rPr>
          <w:rFonts w:ascii="Times New Roman" w:hAnsi="Times New Roman" w:cs="Times New Roman"/>
          <w:iCs/>
          <w:sz w:val="24"/>
          <w:szCs w:val="24"/>
        </w:rPr>
        <w:t xml:space="preserve">§ 23. </w:t>
      </w:r>
      <w:r w:rsidRPr="00371A09">
        <w:rPr>
          <w:rFonts w:ascii="Times New Roman" w:hAnsi="Times New Roman" w:cs="Times New Roman"/>
          <w:iCs/>
          <w:sz w:val="24"/>
          <w:szCs w:val="24"/>
        </w:rPr>
        <w:t>Retten til aktindsigt omfatter ikke interne dokumenter. Som interne dokumenter anses</w:t>
      </w:r>
      <w:r w:rsidRPr="00371A09">
        <w:rPr>
          <w:rFonts w:ascii="Times New Roman" w:hAnsi="Times New Roman" w:cs="Times New Roman"/>
          <w:iCs/>
          <w:sz w:val="24"/>
          <w:szCs w:val="24"/>
        </w:rPr>
        <w:br/>
        <w:t>1) dokumenter, der ikke er afgivet til udenforstående,</w:t>
      </w:r>
      <w:r w:rsidRPr="00371A09">
        <w:rPr>
          <w:rFonts w:ascii="Times New Roman" w:hAnsi="Times New Roman" w:cs="Times New Roman"/>
          <w:iCs/>
          <w:sz w:val="24"/>
          <w:szCs w:val="24"/>
        </w:rPr>
        <w:br/>
        <w:t>2) dokumenter, der efter § 24, stk. 1, udveksles på et tidspunkt, hvor der er konkret grund til at antage, at en minister har eller vil få behov for embedsværkets rådgivning og bistand, og</w:t>
      </w:r>
      <w:r w:rsidRPr="00371A09">
        <w:rPr>
          <w:rFonts w:ascii="Times New Roman" w:hAnsi="Times New Roman" w:cs="Times New Roman"/>
          <w:iCs/>
          <w:sz w:val="24"/>
          <w:szCs w:val="24"/>
        </w:rPr>
        <w:br/>
        <w:t>3) dokumenter, der efter § 25 udveksles i forbindelse med økonomiske eller politiske forhandlinger eller i forbindelse med drøftelser om fælles kommunale og regionale politiske initiativer.</w:t>
      </w:r>
      <w:r w:rsidRPr="00371A09">
        <w:rPr>
          <w:rFonts w:ascii="Times New Roman" w:hAnsi="Times New Roman" w:cs="Times New Roman"/>
          <w:iCs/>
          <w:sz w:val="24"/>
          <w:szCs w:val="24"/>
        </w:rPr>
        <w:br/>
      </w:r>
      <w:r w:rsidRPr="00371A09">
        <w:rPr>
          <w:rFonts w:ascii="Times New Roman" w:hAnsi="Times New Roman" w:cs="Times New Roman"/>
          <w:sz w:val="24"/>
          <w:szCs w:val="24"/>
        </w:rPr>
        <w:t xml:space="preserve">Stk. 2. Dokumenter omfattet af stk. 1, der afgives til udenforstående, mister deres interne karakter, medmindre afgivelsen sker af retlige grunde, til forskningsmæssig brug eller af andre lignende grunde. </w:t>
      </w:r>
    </w:p>
    <w:p w:rsidR="0043160D" w:rsidRPr="00371A09" w:rsidRDefault="0043160D" w:rsidP="0043160D">
      <w:pPr>
        <w:autoSpaceDE w:val="0"/>
        <w:autoSpaceDN w:val="0"/>
        <w:adjustRightInd w:val="0"/>
        <w:spacing w:before="100" w:after="100" w:line="240" w:lineRule="auto"/>
        <w:ind w:left="1304"/>
        <w:rPr>
          <w:rFonts w:ascii="Times New Roman" w:hAnsi="Times New Roman" w:cs="Times New Roman"/>
          <w:sz w:val="24"/>
          <w:szCs w:val="24"/>
        </w:rPr>
      </w:pPr>
      <w:r w:rsidRPr="00371A09">
        <w:rPr>
          <w:rFonts w:ascii="Times New Roman" w:hAnsi="Times New Roman" w:cs="Times New Roman"/>
          <w:sz w:val="24"/>
          <w:szCs w:val="24"/>
        </w:rPr>
        <w:t xml:space="preserve">Stk. 3. </w:t>
      </w:r>
      <w:r>
        <w:rPr>
          <w:rFonts w:ascii="Times New Roman" w:hAnsi="Times New Roman" w:cs="Times New Roman"/>
          <w:sz w:val="24"/>
          <w:szCs w:val="24"/>
        </w:rPr>
        <w:t>….</w:t>
      </w:r>
    </w:p>
    <w:p w:rsidR="0043160D" w:rsidRDefault="0043160D" w:rsidP="0043160D">
      <w:pPr>
        <w:keepNext/>
        <w:autoSpaceDE w:val="0"/>
        <w:autoSpaceDN w:val="0"/>
        <w:adjustRightInd w:val="0"/>
        <w:spacing w:before="100" w:after="100" w:line="240" w:lineRule="auto"/>
        <w:ind w:left="1304"/>
        <w:outlineLvl w:val="3"/>
        <w:rPr>
          <w:rFonts w:ascii="Times New Roman" w:hAnsi="Times New Roman" w:cs="Times New Roman"/>
          <w:bCs/>
          <w:sz w:val="24"/>
          <w:szCs w:val="24"/>
        </w:rPr>
      </w:pPr>
    </w:p>
    <w:p w:rsidR="0043160D" w:rsidRPr="00371A09" w:rsidRDefault="0043160D" w:rsidP="0043160D">
      <w:pPr>
        <w:keepNext/>
        <w:autoSpaceDE w:val="0"/>
        <w:autoSpaceDN w:val="0"/>
        <w:adjustRightInd w:val="0"/>
        <w:spacing w:before="100" w:after="100" w:line="240" w:lineRule="auto"/>
        <w:ind w:left="1304"/>
        <w:outlineLvl w:val="3"/>
        <w:rPr>
          <w:rFonts w:ascii="Times New Roman" w:hAnsi="Times New Roman" w:cs="Times New Roman"/>
          <w:sz w:val="24"/>
          <w:szCs w:val="24"/>
        </w:rPr>
      </w:pPr>
      <w:r w:rsidRPr="00371A09">
        <w:rPr>
          <w:rFonts w:ascii="Times New Roman" w:hAnsi="Times New Roman" w:cs="Times New Roman"/>
          <w:bCs/>
          <w:sz w:val="24"/>
          <w:szCs w:val="24"/>
        </w:rPr>
        <w:t>§ 24</w:t>
      </w:r>
      <w:r>
        <w:rPr>
          <w:rFonts w:ascii="Times New Roman" w:hAnsi="Times New Roman" w:cs="Times New Roman"/>
          <w:bCs/>
          <w:sz w:val="24"/>
          <w:szCs w:val="24"/>
        </w:rPr>
        <w:t>.</w:t>
      </w:r>
      <w:r w:rsidRPr="00371A09">
        <w:rPr>
          <w:rFonts w:ascii="Times New Roman" w:hAnsi="Times New Roman" w:cs="Times New Roman"/>
          <w:bCs/>
          <w:sz w:val="24"/>
          <w:szCs w:val="24"/>
        </w:rPr>
        <w:t xml:space="preserve"> </w:t>
      </w:r>
      <w:r w:rsidRPr="00371A09">
        <w:rPr>
          <w:rFonts w:ascii="Times New Roman" w:hAnsi="Times New Roman" w:cs="Times New Roman"/>
          <w:sz w:val="24"/>
          <w:szCs w:val="24"/>
        </w:rPr>
        <w:t xml:space="preserve">Retten til aktindsigt omfatter ikke interne dokumenter og oplysninger, der udveksles på et tidspunkt, hvor der er konkret grund til at antage, at en minister har eller vil få behov for embedsværkets rådgivning og bistand, mellem: </w:t>
      </w:r>
    </w:p>
    <w:p w:rsidR="0043160D" w:rsidRPr="00371A09" w:rsidRDefault="0043160D" w:rsidP="0043160D">
      <w:pPr>
        <w:numPr>
          <w:ilvl w:val="0"/>
          <w:numId w:val="1"/>
        </w:numPr>
        <w:tabs>
          <w:tab w:val="num" w:pos="2024"/>
        </w:tabs>
        <w:autoSpaceDE w:val="0"/>
        <w:autoSpaceDN w:val="0"/>
        <w:adjustRightInd w:val="0"/>
        <w:spacing w:before="100" w:after="100" w:line="240" w:lineRule="auto"/>
        <w:ind w:left="2024"/>
        <w:outlineLvl w:val="0"/>
        <w:rPr>
          <w:rFonts w:ascii="Times New Roman" w:hAnsi="Times New Roman" w:cs="Times New Roman"/>
          <w:sz w:val="24"/>
          <w:szCs w:val="24"/>
        </w:rPr>
      </w:pPr>
      <w:r w:rsidRPr="00371A09">
        <w:rPr>
          <w:rFonts w:ascii="Times New Roman" w:hAnsi="Times New Roman" w:cs="Times New Roman"/>
          <w:sz w:val="24"/>
          <w:szCs w:val="24"/>
        </w:rPr>
        <w:t xml:space="preserve">Et ministeriums departement og dets underordnede myndigheder. </w:t>
      </w:r>
    </w:p>
    <w:p w:rsidR="0043160D" w:rsidRPr="00371A09" w:rsidRDefault="0043160D" w:rsidP="0043160D">
      <w:pPr>
        <w:numPr>
          <w:ilvl w:val="0"/>
          <w:numId w:val="1"/>
        </w:numPr>
        <w:tabs>
          <w:tab w:val="num" w:pos="720"/>
        </w:tabs>
        <w:autoSpaceDE w:val="0"/>
        <w:autoSpaceDN w:val="0"/>
        <w:adjustRightInd w:val="0"/>
        <w:spacing w:before="100" w:after="100" w:line="240" w:lineRule="auto"/>
        <w:ind w:left="2024"/>
        <w:outlineLvl w:val="0"/>
        <w:rPr>
          <w:rFonts w:ascii="Times New Roman" w:hAnsi="Times New Roman" w:cs="Times New Roman"/>
          <w:sz w:val="24"/>
          <w:szCs w:val="24"/>
        </w:rPr>
      </w:pPr>
      <w:r w:rsidRPr="00371A09">
        <w:rPr>
          <w:rFonts w:ascii="Times New Roman" w:hAnsi="Times New Roman" w:cs="Times New Roman"/>
          <w:sz w:val="24"/>
          <w:szCs w:val="24"/>
        </w:rPr>
        <w:t xml:space="preserve">Forskellige ministerier. </w:t>
      </w:r>
    </w:p>
    <w:p w:rsidR="0043160D" w:rsidRPr="00371A09" w:rsidRDefault="0043160D" w:rsidP="0043160D">
      <w:pPr>
        <w:autoSpaceDE w:val="0"/>
        <w:autoSpaceDN w:val="0"/>
        <w:adjustRightInd w:val="0"/>
        <w:spacing w:before="100" w:after="100" w:line="240" w:lineRule="auto"/>
        <w:ind w:left="1304"/>
        <w:rPr>
          <w:rFonts w:ascii="Times New Roman" w:hAnsi="Times New Roman" w:cs="Times New Roman"/>
          <w:sz w:val="24"/>
          <w:szCs w:val="24"/>
        </w:rPr>
      </w:pPr>
      <w:r w:rsidRPr="00371A09">
        <w:rPr>
          <w:rFonts w:ascii="Times New Roman" w:hAnsi="Times New Roman" w:cs="Times New Roman"/>
          <w:sz w:val="24"/>
          <w:szCs w:val="24"/>
        </w:rPr>
        <w:t xml:space="preserve">Stk. 2. Oplysninger om sagens faktiske grundlag m.v. er efter reglerne i §§ 28 og 29 omfattet af retten til aktindsigt efter lovens almindelige regler uanset stk. 1. </w:t>
      </w:r>
    </w:p>
    <w:p w:rsidR="0043160D" w:rsidRPr="00371A09" w:rsidRDefault="0043160D" w:rsidP="0043160D">
      <w:pPr>
        <w:autoSpaceDE w:val="0"/>
        <w:autoSpaceDN w:val="0"/>
        <w:adjustRightInd w:val="0"/>
        <w:spacing w:before="100" w:after="100" w:line="240" w:lineRule="auto"/>
        <w:ind w:left="1304"/>
        <w:rPr>
          <w:rFonts w:ascii="Times New Roman" w:hAnsi="Times New Roman" w:cs="Times New Roman"/>
          <w:sz w:val="24"/>
          <w:szCs w:val="24"/>
        </w:rPr>
      </w:pPr>
      <w:r w:rsidRPr="00371A09">
        <w:rPr>
          <w:rFonts w:ascii="Times New Roman" w:hAnsi="Times New Roman" w:cs="Times New Roman"/>
          <w:sz w:val="24"/>
          <w:szCs w:val="24"/>
        </w:rPr>
        <w:t xml:space="preserve">Stk. 3. Selv om det må antages, at en minister har eller vil få behov for embedsværkets rådgivning og bistand i forbindelse med den pågældende sag m.v., gælder stk. 1 ikke </w:t>
      </w:r>
    </w:p>
    <w:p w:rsidR="0043160D" w:rsidRPr="00371A09" w:rsidRDefault="0043160D" w:rsidP="0043160D">
      <w:pPr>
        <w:numPr>
          <w:ilvl w:val="0"/>
          <w:numId w:val="2"/>
        </w:numPr>
        <w:tabs>
          <w:tab w:val="num" w:pos="720"/>
        </w:tabs>
        <w:autoSpaceDE w:val="0"/>
        <w:autoSpaceDN w:val="0"/>
        <w:adjustRightInd w:val="0"/>
        <w:spacing w:before="100" w:after="100" w:line="240" w:lineRule="auto"/>
        <w:ind w:left="2024"/>
        <w:outlineLvl w:val="0"/>
        <w:rPr>
          <w:rFonts w:ascii="Times New Roman" w:hAnsi="Times New Roman" w:cs="Times New Roman"/>
          <w:sz w:val="24"/>
          <w:szCs w:val="24"/>
        </w:rPr>
      </w:pPr>
      <w:proofErr w:type="gramStart"/>
      <w:r w:rsidRPr="00371A09">
        <w:rPr>
          <w:rFonts w:ascii="Times New Roman" w:hAnsi="Times New Roman" w:cs="Times New Roman"/>
          <w:sz w:val="24"/>
          <w:szCs w:val="24"/>
        </w:rPr>
        <w:t>i</w:t>
      </w:r>
      <w:proofErr w:type="gramEnd"/>
      <w:r w:rsidRPr="00371A09">
        <w:rPr>
          <w:rFonts w:ascii="Times New Roman" w:hAnsi="Times New Roman" w:cs="Times New Roman"/>
          <w:sz w:val="24"/>
          <w:szCs w:val="24"/>
        </w:rPr>
        <w:t xml:space="preserve"> sager, hvori der er eller vil blive truffet en konkret afgørelse af en forvaltningsmyndighed, </w:t>
      </w:r>
    </w:p>
    <w:p w:rsidR="0043160D" w:rsidRPr="00371A09" w:rsidRDefault="0043160D" w:rsidP="0043160D">
      <w:pPr>
        <w:numPr>
          <w:ilvl w:val="0"/>
          <w:numId w:val="2"/>
        </w:numPr>
        <w:tabs>
          <w:tab w:val="num" w:pos="720"/>
        </w:tabs>
        <w:autoSpaceDE w:val="0"/>
        <w:autoSpaceDN w:val="0"/>
        <w:adjustRightInd w:val="0"/>
        <w:spacing w:before="100" w:after="100" w:line="240" w:lineRule="auto"/>
        <w:ind w:left="2024"/>
        <w:outlineLvl w:val="0"/>
        <w:rPr>
          <w:rFonts w:ascii="Times New Roman" w:hAnsi="Times New Roman" w:cs="Times New Roman"/>
          <w:sz w:val="24"/>
          <w:szCs w:val="24"/>
        </w:rPr>
      </w:pPr>
      <w:proofErr w:type="gramStart"/>
      <w:r w:rsidRPr="00371A09">
        <w:rPr>
          <w:rFonts w:ascii="Times New Roman" w:hAnsi="Times New Roman" w:cs="Times New Roman"/>
          <w:sz w:val="24"/>
          <w:szCs w:val="24"/>
        </w:rPr>
        <w:t>i</w:t>
      </w:r>
      <w:proofErr w:type="gramEnd"/>
      <w:r w:rsidRPr="00371A09">
        <w:rPr>
          <w:rFonts w:ascii="Times New Roman" w:hAnsi="Times New Roman" w:cs="Times New Roman"/>
          <w:sz w:val="24"/>
          <w:szCs w:val="24"/>
        </w:rPr>
        <w:t xml:space="preserve"> sager om indgåelse af kontraktforhold</w:t>
      </w:r>
      <w:r>
        <w:rPr>
          <w:rFonts w:ascii="Times New Roman" w:hAnsi="Times New Roman" w:cs="Times New Roman"/>
          <w:sz w:val="24"/>
          <w:szCs w:val="24"/>
        </w:rPr>
        <w:t xml:space="preserve"> </w:t>
      </w:r>
      <w:r w:rsidRPr="00371A09">
        <w:rPr>
          <w:rFonts w:ascii="Times New Roman" w:hAnsi="Times New Roman" w:cs="Times New Roman"/>
          <w:sz w:val="24"/>
          <w:szCs w:val="24"/>
        </w:rPr>
        <w:t>og</w:t>
      </w:r>
    </w:p>
    <w:p w:rsidR="0043160D" w:rsidRPr="00371A09" w:rsidRDefault="0043160D" w:rsidP="0043160D">
      <w:pPr>
        <w:numPr>
          <w:ilvl w:val="0"/>
          <w:numId w:val="2"/>
        </w:numPr>
        <w:tabs>
          <w:tab w:val="num" w:pos="720"/>
        </w:tabs>
        <w:autoSpaceDE w:val="0"/>
        <w:autoSpaceDN w:val="0"/>
        <w:adjustRightInd w:val="0"/>
        <w:spacing w:before="100" w:after="100" w:line="240" w:lineRule="auto"/>
        <w:ind w:left="2024"/>
        <w:outlineLvl w:val="0"/>
        <w:rPr>
          <w:rFonts w:ascii="Times New Roman" w:hAnsi="Times New Roman" w:cs="Times New Roman"/>
          <w:sz w:val="24"/>
          <w:szCs w:val="24"/>
        </w:rPr>
      </w:pPr>
      <w:proofErr w:type="gramStart"/>
      <w:r w:rsidRPr="00371A09">
        <w:rPr>
          <w:rFonts w:ascii="Times New Roman" w:hAnsi="Times New Roman" w:cs="Times New Roman"/>
          <w:sz w:val="24"/>
          <w:szCs w:val="24"/>
        </w:rPr>
        <w:t>i</w:t>
      </w:r>
      <w:proofErr w:type="gramEnd"/>
      <w:r w:rsidRPr="00371A09">
        <w:rPr>
          <w:rFonts w:ascii="Times New Roman" w:hAnsi="Times New Roman" w:cs="Times New Roman"/>
          <w:sz w:val="24"/>
          <w:szCs w:val="24"/>
        </w:rPr>
        <w:t xml:space="preserve"> forbindelse med et ministeriums udførelse af kontrol- eller tilsynsopgaver. </w:t>
      </w:r>
    </w:p>
    <w:p w:rsidR="0043160D" w:rsidRDefault="0043160D" w:rsidP="0043160D">
      <w:pPr>
        <w:autoSpaceDE w:val="0"/>
        <w:autoSpaceDN w:val="0"/>
        <w:adjustRightInd w:val="0"/>
        <w:spacing w:before="100" w:after="100" w:line="240" w:lineRule="auto"/>
        <w:ind w:left="1080"/>
        <w:rPr>
          <w:rFonts w:ascii="Times New Roman" w:hAnsi="Times New Roman" w:cs="Times New Roman"/>
          <w:sz w:val="24"/>
          <w:szCs w:val="24"/>
        </w:rPr>
      </w:pPr>
    </w:p>
    <w:p w:rsidR="0043160D" w:rsidRPr="006269FE" w:rsidRDefault="0043160D" w:rsidP="0043160D">
      <w:pPr>
        <w:autoSpaceDE w:val="0"/>
        <w:autoSpaceDN w:val="0"/>
        <w:adjustRightInd w:val="0"/>
        <w:spacing w:before="100" w:after="100" w:line="240" w:lineRule="auto"/>
        <w:rPr>
          <w:rFonts w:ascii="Times New Roman" w:hAnsi="Times New Roman" w:cs="Times New Roman"/>
          <w:sz w:val="24"/>
          <w:szCs w:val="24"/>
          <w:u w:val="single"/>
        </w:rPr>
      </w:pPr>
      <w:r w:rsidRPr="006269FE">
        <w:rPr>
          <w:rFonts w:ascii="Times New Roman" w:hAnsi="Times New Roman" w:cs="Times New Roman"/>
          <w:sz w:val="24"/>
          <w:szCs w:val="24"/>
          <w:u w:val="single"/>
        </w:rPr>
        <w:t>Undtagelser</w:t>
      </w:r>
    </w:p>
    <w:p w:rsidR="0043160D" w:rsidRDefault="0043160D" w:rsidP="0043160D">
      <w:pPr>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Der er dog adgang til aktindsigt i </w:t>
      </w:r>
      <w:r w:rsidRPr="003A019E">
        <w:rPr>
          <w:rFonts w:ascii="Times New Roman" w:hAnsi="Times New Roman" w:cs="Times New Roman"/>
          <w:sz w:val="24"/>
          <w:szCs w:val="24"/>
        </w:rPr>
        <w:t xml:space="preserve">visse </w:t>
      </w:r>
      <w:r>
        <w:rPr>
          <w:rFonts w:ascii="Times New Roman" w:hAnsi="Times New Roman" w:cs="Times New Roman"/>
          <w:sz w:val="24"/>
          <w:szCs w:val="24"/>
        </w:rPr>
        <w:t xml:space="preserve">oplysninger i interne dokumenter, interne faglige vurderinger og </w:t>
      </w:r>
      <w:r w:rsidRPr="003A019E">
        <w:rPr>
          <w:rFonts w:ascii="Times New Roman" w:hAnsi="Times New Roman" w:cs="Times New Roman"/>
          <w:sz w:val="24"/>
          <w:szCs w:val="24"/>
        </w:rPr>
        <w:t>interne dokumenter</w:t>
      </w:r>
      <w:r w:rsidR="008962F4">
        <w:rPr>
          <w:rFonts w:ascii="Times New Roman" w:hAnsi="Times New Roman" w:cs="Times New Roman"/>
          <w:sz w:val="24"/>
          <w:szCs w:val="24"/>
        </w:rPr>
        <w:t>,</w:t>
      </w:r>
      <w:r w:rsidRPr="003A019E">
        <w:rPr>
          <w:rFonts w:ascii="Times New Roman" w:hAnsi="Times New Roman" w:cs="Times New Roman"/>
          <w:sz w:val="24"/>
          <w:szCs w:val="24"/>
        </w:rPr>
        <w:t xml:space="preserve"> </w:t>
      </w:r>
      <w:r>
        <w:rPr>
          <w:rFonts w:ascii="Times New Roman" w:hAnsi="Times New Roman" w:cs="Times New Roman"/>
          <w:sz w:val="24"/>
          <w:szCs w:val="24"/>
        </w:rPr>
        <w:t xml:space="preserve">der foreligger i </w:t>
      </w:r>
      <w:r w:rsidRPr="003A019E">
        <w:rPr>
          <w:rFonts w:ascii="Times New Roman" w:hAnsi="Times New Roman" w:cs="Times New Roman"/>
          <w:sz w:val="24"/>
          <w:szCs w:val="24"/>
        </w:rPr>
        <w:t>endelig form</w:t>
      </w:r>
      <w:r>
        <w:rPr>
          <w:rFonts w:ascii="Times New Roman" w:hAnsi="Times New Roman" w:cs="Times New Roman"/>
          <w:sz w:val="24"/>
          <w:szCs w:val="24"/>
        </w:rPr>
        <w:t>:</w:t>
      </w:r>
    </w:p>
    <w:p w:rsidR="0043160D" w:rsidRDefault="0043160D" w:rsidP="0043160D">
      <w:pPr>
        <w:autoSpaceDE w:val="0"/>
        <w:autoSpaceDN w:val="0"/>
        <w:adjustRightInd w:val="0"/>
        <w:spacing w:before="100" w:after="100" w:line="240" w:lineRule="auto"/>
        <w:rPr>
          <w:rFonts w:ascii="Times New Roman" w:hAnsi="Times New Roman" w:cs="Times New Roman"/>
          <w:i/>
          <w:sz w:val="24"/>
          <w:szCs w:val="24"/>
        </w:rPr>
      </w:pPr>
      <w:r>
        <w:rPr>
          <w:rFonts w:ascii="Times New Roman" w:hAnsi="Times New Roman" w:cs="Times New Roman"/>
          <w:i/>
          <w:sz w:val="24"/>
          <w:szCs w:val="24"/>
        </w:rPr>
        <w:t>Forvaltningsloven</w:t>
      </w:r>
    </w:p>
    <w:p w:rsidR="0043160D" w:rsidRDefault="0043160D" w:rsidP="0043160D">
      <w:pPr>
        <w:autoSpaceDE w:val="0"/>
        <w:autoSpaceDN w:val="0"/>
        <w:adjustRightInd w:val="0"/>
        <w:spacing w:before="100" w:after="100" w:line="240" w:lineRule="auto"/>
        <w:ind w:left="1304"/>
        <w:rPr>
          <w:rFonts w:ascii="Times New Roman" w:hAnsi="Times New Roman" w:cs="Times New Roman"/>
          <w:sz w:val="24"/>
          <w:szCs w:val="24"/>
        </w:rPr>
      </w:pPr>
      <w:r>
        <w:rPr>
          <w:rFonts w:ascii="Times New Roman" w:hAnsi="Times New Roman" w:cs="Times New Roman"/>
          <w:sz w:val="24"/>
          <w:szCs w:val="24"/>
        </w:rPr>
        <w:t xml:space="preserve">§ 14 a. </w:t>
      </w:r>
      <w:r w:rsidRPr="009775C4">
        <w:rPr>
          <w:rFonts w:ascii="Times New Roman" w:hAnsi="Times New Roman" w:cs="Times New Roman"/>
          <w:sz w:val="24"/>
          <w:szCs w:val="24"/>
        </w:rPr>
        <w:t>Retten til aktindsigt i dokumenter omfattet af § 12 og § 14 omfatter uanset disse bestemmelser oplysninger om en sags faktiske grundlag, i det omfang oplysningerne er relevante for sagens afgørelse. Det samme gælder oplysninger om eksterne faglige vurderinger, som findes i sådanne dokumenter, der er omfattet af § 12 og § 14, nr. 1 og 2.</w:t>
      </w:r>
    </w:p>
    <w:p w:rsidR="0043160D" w:rsidRPr="009775C4" w:rsidRDefault="0043160D" w:rsidP="0043160D">
      <w:pPr>
        <w:autoSpaceDE w:val="0"/>
        <w:autoSpaceDN w:val="0"/>
        <w:adjustRightInd w:val="0"/>
        <w:spacing w:before="100" w:after="100" w:line="240" w:lineRule="auto"/>
        <w:ind w:left="1304"/>
        <w:rPr>
          <w:rFonts w:ascii="Times New Roman" w:hAnsi="Times New Roman" w:cs="Times New Roman"/>
          <w:sz w:val="24"/>
          <w:szCs w:val="24"/>
        </w:rPr>
      </w:pPr>
      <w:r w:rsidRPr="009775C4">
        <w:rPr>
          <w:rFonts w:ascii="Times New Roman" w:hAnsi="Times New Roman" w:cs="Times New Roman"/>
          <w:sz w:val="24"/>
          <w:szCs w:val="24"/>
        </w:rPr>
        <w:t xml:space="preserve">Stk. 2. Stk. 1 gælder ikke, i det omfang de pågældende oplysninger fremgår af andre dokumenter, som udleveres i forbindelse med aktindsigten. </w:t>
      </w:r>
    </w:p>
    <w:p w:rsidR="0043160D" w:rsidRPr="009775C4" w:rsidRDefault="0043160D" w:rsidP="0043160D">
      <w:pPr>
        <w:autoSpaceDE w:val="0"/>
        <w:autoSpaceDN w:val="0"/>
        <w:adjustRightInd w:val="0"/>
        <w:spacing w:before="100" w:after="100" w:line="240" w:lineRule="auto"/>
        <w:ind w:left="1304"/>
        <w:rPr>
          <w:rFonts w:ascii="Times New Roman" w:hAnsi="Times New Roman" w:cs="Times New Roman"/>
          <w:sz w:val="24"/>
          <w:szCs w:val="24"/>
        </w:rPr>
      </w:pPr>
      <w:r>
        <w:rPr>
          <w:rFonts w:ascii="Times New Roman" w:hAnsi="Times New Roman" w:cs="Times New Roman"/>
          <w:sz w:val="24"/>
          <w:szCs w:val="24"/>
        </w:rPr>
        <w:t xml:space="preserve">§ 14 b. </w:t>
      </w:r>
      <w:r w:rsidRPr="009775C4">
        <w:rPr>
          <w:rFonts w:ascii="Times New Roman" w:hAnsi="Times New Roman" w:cs="Times New Roman"/>
          <w:sz w:val="24"/>
          <w:szCs w:val="24"/>
        </w:rPr>
        <w:t>I sager, hvor det er almindelig praksis at indhente eksterne faglige vurderinger af spørgsmål til brug for afgørelsen af den pågældende type sager, omfatter retten til aktindsigt oplysninger om interne faglige vurderinger i endelig form, som måtte være foretaget af de pågældende spørgsmål.</w:t>
      </w:r>
    </w:p>
    <w:p w:rsidR="0043160D" w:rsidRDefault="0043160D" w:rsidP="0043160D">
      <w:pPr>
        <w:autoSpaceDE w:val="0"/>
        <w:autoSpaceDN w:val="0"/>
        <w:adjustRightInd w:val="0"/>
        <w:spacing w:before="100" w:after="100" w:line="240" w:lineRule="auto"/>
        <w:rPr>
          <w:rFonts w:ascii="Times New Roman" w:hAnsi="Times New Roman" w:cs="Times New Roman"/>
          <w:i/>
          <w:sz w:val="24"/>
          <w:szCs w:val="24"/>
        </w:rPr>
      </w:pPr>
    </w:p>
    <w:p w:rsidR="0043160D" w:rsidRDefault="0043160D" w:rsidP="0043160D">
      <w:pPr>
        <w:autoSpaceDE w:val="0"/>
        <w:autoSpaceDN w:val="0"/>
        <w:adjustRightInd w:val="0"/>
        <w:spacing w:before="100" w:after="100" w:line="240" w:lineRule="auto"/>
        <w:rPr>
          <w:rFonts w:ascii="Times New Roman" w:hAnsi="Times New Roman" w:cs="Times New Roman"/>
          <w:i/>
          <w:sz w:val="24"/>
          <w:szCs w:val="24"/>
        </w:rPr>
      </w:pPr>
      <w:r w:rsidRPr="003A019E">
        <w:rPr>
          <w:rFonts w:ascii="Times New Roman" w:hAnsi="Times New Roman" w:cs="Times New Roman"/>
          <w:i/>
          <w:sz w:val="24"/>
          <w:szCs w:val="24"/>
        </w:rPr>
        <w:t>Offentlighedsloven:</w:t>
      </w:r>
    </w:p>
    <w:p w:rsidR="0043160D" w:rsidRPr="00DF2869" w:rsidRDefault="0043160D" w:rsidP="0043160D">
      <w:pPr>
        <w:keepNext/>
        <w:autoSpaceDE w:val="0"/>
        <w:autoSpaceDN w:val="0"/>
        <w:adjustRightInd w:val="0"/>
        <w:spacing w:before="100" w:after="100" w:line="240" w:lineRule="auto"/>
        <w:ind w:left="1304"/>
        <w:outlineLvl w:val="3"/>
        <w:rPr>
          <w:rFonts w:ascii="Times New Roman" w:hAnsi="Times New Roman" w:cs="Times New Roman"/>
          <w:sz w:val="24"/>
          <w:szCs w:val="24"/>
        </w:rPr>
      </w:pPr>
      <w:r w:rsidRPr="00DF2869">
        <w:rPr>
          <w:rFonts w:ascii="Times New Roman" w:hAnsi="Times New Roman" w:cs="Times New Roman"/>
          <w:bCs/>
          <w:sz w:val="24"/>
          <w:szCs w:val="24"/>
        </w:rPr>
        <w:t xml:space="preserve">§ 26. </w:t>
      </w:r>
      <w:r w:rsidRPr="00DF2869">
        <w:rPr>
          <w:rFonts w:ascii="Times New Roman" w:hAnsi="Times New Roman" w:cs="Times New Roman"/>
          <w:sz w:val="24"/>
          <w:szCs w:val="24"/>
        </w:rPr>
        <w:t xml:space="preserve">Retten til aktindsigt omfatter uanset § 23, stk. 1, interne dokumenter, som foreligger i endelig form, når </w:t>
      </w:r>
    </w:p>
    <w:p w:rsidR="0043160D" w:rsidRPr="00DF2869" w:rsidRDefault="0043160D" w:rsidP="0043160D">
      <w:pPr>
        <w:numPr>
          <w:ilvl w:val="0"/>
          <w:numId w:val="3"/>
        </w:numPr>
        <w:autoSpaceDE w:val="0"/>
        <w:autoSpaceDN w:val="0"/>
        <w:adjustRightInd w:val="0"/>
        <w:spacing w:before="100" w:after="100" w:line="240" w:lineRule="auto"/>
        <w:ind w:left="2024"/>
        <w:outlineLvl w:val="0"/>
        <w:rPr>
          <w:rFonts w:ascii="Times New Roman" w:hAnsi="Times New Roman" w:cs="Times New Roman"/>
          <w:sz w:val="24"/>
          <w:szCs w:val="24"/>
        </w:rPr>
      </w:pPr>
      <w:proofErr w:type="gramStart"/>
      <w:r w:rsidRPr="00DF2869">
        <w:rPr>
          <w:rFonts w:ascii="Times New Roman" w:hAnsi="Times New Roman" w:cs="Times New Roman"/>
          <w:sz w:val="24"/>
          <w:szCs w:val="24"/>
        </w:rPr>
        <w:t>dokumenterne</w:t>
      </w:r>
      <w:proofErr w:type="gramEnd"/>
      <w:r w:rsidRPr="00DF2869">
        <w:rPr>
          <w:rFonts w:ascii="Times New Roman" w:hAnsi="Times New Roman" w:cs="Times New Roman"/>
          <w:sz w:val="24"/>
          <w:szCs w:val="24"/>
        </w:rPr>
        <w:t xml:space="preserve"> alene gengiver indholdet af den endelige beslutning vedrørende en sags afgørelse, </w:t>
      </w:r>
    </w:p>
    <w:p w:rsidR="0043160D" w:rsidRPr="00DF2869" w:rsidRDefault="0043160D" w:rsidP="0043160D">
      <w:pPr>
        <w:numPr>
          <w:ilvl w:val="0"/>
          <w:numId w:val="3"/>
        </w:numPr>
        <w:tabs>
          <w:tab w:val="num" w:pos="2024"/>
        </w:tabs>
        <w:autoSpaceDE w:val="0"/>
        <w:autoSpaceDN w:val="0"/>
        <w:adjustRightInd w:val="0"/>
        <w:spacing w:before="100" w:after="100" w:line="240" w:lineRule="auto"/>
        <w:ind w:left="2024"/>
        <w:outlineLvl w:val="0"/>
        <w:rPr>
          <w:rFonts w:ascii="Times New Roman" w:hAnsi="Times New Roman" w:cs="Times New Roman"/>
          <w:sz w:val="24"/>
          <w:szCs w:val="24"/>
        </w:rPr>
      </w:pPr>
      <w:proofErr w:type="gramStart"/>
      <w:r w:rsidRPr="00DF2869">
        <w:rPr>
          <w:rFonts w:ascii="Times New Roman" w:hAnsi="Times New Roman" w:cs="Times New Roman"/>
          <w:sz w:val="24"/>
          <w:szCs w:val="24"/>
        </w:rPr>
        <w:t>dokumenterne</w:t>
      </w:r>
      <w:proofErr w:type="gramEnd"/>
      <w:r w:rsidRPr="00DF2869">
        <w:rPr>
          <w:rFonts w:ascii="Times New Roman" w:hAnsi="Times New Roman" w:cs="Times New Roman"/>
          <w:sz w:val="24"/>
          <w:szCs w:val="24"/>
        </w:rPr>
        <w:t xml:space="preserve"> alene indeholder en gengivelse af oplysninger, som der har været pligt til at notere efter § 13, </w:t>
      </w:r>
    </w:p>
    <w:p w:rsidR="0043160D" w:rsidRPr="00DF2869" w:rsidRDefault="0043160D" w:rsidP="0043160D">
      <w:pPr>
        <w:numPr>
          <w:ilvl w:val="0"/>
          <w:numId w:val="3"/>
        </w:numPr>
        <w:tabs>
          <w:tab w:val="num" w:pos="720"/>
        </w:tabs>
        <w:autoSpaceDE w:val="0"/>
        <w:autoSpaceDN w:val="0"/>
        <w:adjustRightInd w:val="0"/>
        <w:spacing w:before="100" w:after="100" w:line="240" w:lineRule="auto"/>
        <w:ind w:left="2024"/>
        <w:outlineLvl w:val="0"/>
        <w:rPr>
          <w:rFonts w:ascii="Times New Roman" w:hAnsi="Times New Roman" w:cs="Times New Roman"/>
          <w:sz w:val="24"/>
          <w:szCs w:val="24"/>
        </w:rPr>
      </w:pPr>
      <w:proofErr w:type="gramStart"/>
      <w:r w:rsidRPr="00DF2869">
        <w:rPr>
          <w:rFonts w:ascii="Times New Roman" w:hAnsi="Times New Roman" w:cs="Times New Roman"/>
          <w:sz w:val="24"/>
          <w:szCs w:val="24"/>
        </w:rPr>
        <w:t>dokumenterne</w:t>
      </w:r>
      <w:proofErr w:type="gramEnd"/>
      <w:r w:rsidRPr="00DF2869">
        <w:rPr>
          <w:rFonts w:ascii="Times New Roman" w:hAnsi="Times New Roman" w:cs="Times New Roman"/>
          <w:sz w:val="24"/>
          <w:szCs w:val="24"/>
        </w:rPr>
        <w:t xml:space="preserve"> er selvstændige dokumenter, der er udarbejdet for at tilvejebringe bevismæssig eller anden tilsvarende klarhed med hensyn til en sags faktiske omstændigheder, </w:t>
      </w:r>
    </w:p>
    <w:p w:rsidR="0043160D" w:rsidRPr="00DF2869" w:rsidRDefault="0043160D" w:rsidP="0043160D">
      <w:pPr>
        <w:numPr>
          <w:ilvl w:val="0"/>
          <w:numId w:val="3"/>
        </w:numPr>
        <w:tabs>
          <w:tab w:val="num" w:pos="720"/>
        </w:tabs>
        <w:autoSpaceDE w:val="0"/>
        <w:autoSpaceDN w:val="0"/>
        <w:adjustRightInd w:val="0"/>
        <w:spacing w:before="100" w:after="100" w:line="240" w:lineRule="auto"/>
        <w:ind w:left="2024"/>
        <w:outlineLvl w:val="0"/>
        <w:rPr>
          <w:rFonts w:ascii="Times New Roman" w:hAnsi="Times New Roman" w:cs="Times New Roman"/>
          <w:sz w:val="24"/>
          <w:szCs w:val="24"/>
        </w:rPr>
      </w:pPr>
      <w:proofErr w:type="gramStart"/>
      <w:r w:rsidRPr="00DF2869">
        <w:rPr>
          <w:rFonts w:ascii="Times New Roman" w:hAnsi="Times New Roman" w:cs="Times New Roman"/>
          <w:sz w:val="24"/>
          <w:szCs w:val="24"/>
        </w:rPr>
        <w:t>dokumenterne</w:t>
      </w:r>
      <w:proofErr w:type="gramEnd"/>
      <w:r w:rsidRPr="00DF2869">
        <w:rPr>
          <w:rFonts w:ascii="Times New Roman" w:hAnsi="Times New Roman" w:cs="Times New Roman"/>
          <w:sz w:val="24"/>
          <w:szCs w:val="24"/>
        </w:rPr>
        <w:t xml:space="preserve"> indeholder generelle retningslinjer for behandlingen af bestemte sagstyper eller</w:t>
      </w:r>
    </w:p>
    <w:p w:rsidR="0043160D" w:rsidRDefault="0043160D" w:rsidP="0043160D">
      <w:pPr>
        <w:numPr>
          <w:ilvl w:val="0"/>
          <w:numId w:val="3"/>
        </w:numPr>
        <w:tabs>
          <w:tab w:val="num" w:pos="720"/>
        </w:tabs>
        <w:autoSpaceDE w:val="0"/>
        <w:autoSpaceDN w:val="0"/>
        <w:adjustRightInd w:val="0"/>
        <w:spacing w:before="100" w:after="100" w:line="240" w:lineRule="auto"/>
        <w:ind w:left="2024"/>
        <w:outlineLvl w:val="0"/>
        <w:rPr>
          <w:rFonts w:ascii="Times New Roman" w:hAnsi="Times New Roman" w:cs="Times New Roman"/>
          <w:sz w:val="24"/>
          <w:szCs w:val="24"/>
        </w:rPr>
      </w:pPr>
      <w:proofErr w:type="gramStart"/>
      <w:r w:rsidRPr="00DF2869">
        <w:rPr>
          <w:rFonts w:ascii="Times New Roman" w:hAnsi="Times New Roman" w:cs="Times New Roman"/>
          <w:sz w:val="24"/>
          <w:szCs w:val="24"/>
        </w:rPr>
        <w:t>dokumenterne</w:t>
      </w:r>
      <w:proofErr w:type="gramEnd"/>
      <w:r w:rsidRPr="00DF2869">
        <w:rPr>
          <w:rFonts w:ascii="Times New Roman" w:hAnsi="Times New Roman" w:cs="Times New Roman"/>
          <w:sz w:val="24"/>
          <w:szCs w:val="24"/>
        </w:rPr>
        <w:t xml:space="preserve"> indeholder en systematiseret gengivelse af praksis på bestemte sagsområder. </w:t>
      </w:r>
    </w:p>
    <w:p w:rsidR="0043160D" w:rsidRPr="009775C4" w:rsidRDefault="0043160D" w:rsidP="0043160D">
      <w:pPr>
        <w:autoSpaceDE w:val="0"/>
        <w:autoSpaceDN w:val="0"/>
        <w:adjustRightInd w:val="0"/>
        <w:spacing w:before="100" w:after="100" w:line="240" w:lineRule="auto"/>
        <w:ind w:left="1304"/>
        <w:rPr>
          <w:rFonts w:ascii="Times New Roman" w:hAnsi="Times New Roman" w:cs="Times New Roman"/>
          <w:sz w:val="24"/>
          <w:szCs w:val="24"/>
        </w:rPr>
      </w:pPr>
      <w:r>
        <w:rPr>
          <w:rFonts w:ascii="Times New Roman" w:hAnsi="Times New Roman" w:cs="Times New Roman"/>
          <w:sz w:val="24"/>
          <w:szCs w:val="24"/>
        </w:rPr>
        <w:t xml:space="preserve">§ 28. </w:t>
      </w:r>
      <w:r w:rsidRPr="009775C4">
        <w:rPr>
          <w:rFonts w:ascii="Times New Roman" w:hAnsi="Times New Roman" w:cs="Times New Roman"/>
          <w:sz w:val="24"/>
          <w:szCs w:val="24"/>
        </w:rPr>
        <w:t xml:space="preserve">Retten til aktindsigt i dokumenter omfattet af § 23, § 24, stk. 1, § 25 og § 27, nr. 1-4, omfatter uanset disse bestemmelser oplysninger om en sags faktiske grundlag, i det omfang oplysningerne er relevante for sagen. Det samme gælder oplysninger om eksterne faglige vurderinger, som findes i dokumenter, der er omfattet af § 23, § 24, stk. 1, § 25 og § 27, nr. 1-3. </w:t>
      </w:r>
    </w:p>
    <w:p w:rsidR="0043160D" w:rsidRPr="009775C4" w:rsidRDefault="0043160D" w:rsidP="0043160D">
      <w:pPr>
        <w:autoSpaceDE w:val="0"/>
        <w:autoSpaceDN w:val="0"/>
        <w:adjustRightInd w:val="0"/>
        <w:spacing w:before="100" w:after="100" w:line="240" w:lineRule="auto"/>
        <w:ind w:left="1304"/>
        <w:rPr>
          <w:rFonts w:ascii="Times New Roman" w:hAnsi="Times New Roman" w:cs="Times New Roman"/>
          <w:sz w:val="24"/>
          <w:szCs w:val="24"/>
        </w:rPr>
      </w:pPr>
      <w:r w:rsidRPr="009775C4">
        <w:rPr>
          <w:rFonts w:ascii="Times New Roman" w:hAnsi="Times New Roman" w:cs="Times New Roman"/>
          <w:sz w:val="24"/>
          <w:szCs w:val="24"/>
        </w:rPr>
        <w:t xml:space="preserve">Stk. 2. Stk. 1 gælder ikke, i det omfang </w:t>
      </w:r>
    </w:p>
    <w:p w:rsidR="0043160D" w:rsidRPr="009775C4" w:rsidRDefault="0043160D" w:rsidP="0043160D">
      <w:pPr>
        <w:numPr>
          <w:ilvl w:val="0"/>
          <w:numId w:val="4"/>
        </w:numPr>
        <w:autoSpaceDE w:val="0"/>
        <w:autoSpaceDN w:val="0"/>
        <w:adjustRightInd w:val="0"/>
        <w:spacing w:before="100" w:after="100" w:line="240" w:lineRule="auto"/>
        <w:ind w:left="2024"/>
        <w:outlineLvl w:val="0"/>
        <w:rPr>
          <w:rFonts w:ascii="Times New Roman" w:hAnsi="Times New Roman" w:cs="Times New Roman"/>
          <w:sz w:val="24"/>
          <w:szCs w:val="24"/>
        </w:rPr>
      </w:pPr>
      <w:proofErr w:type="gramStart"/>
      <w:r w:rsidRPr="009775C4">
        <w:rPr>
          <w:rFonts w:ascii="Times New Roman" w:hAnsi="Times New Roman" w:cs="Times New Roman"/>
          <w:sz w:val="24"/>
          <w:szCs w:val="24"/>
        </w:rPr>
        <w:t>det</w:t>
      </w:r>
      <w:proofErr w:type="gramEnd"/>
      <w:r w:rsidRPr="009775C4">
        <w:rPr>
          <w:rFonts w:ascii="Times New Roman" w:hAnsi="Times New Roman" w:cs="Times New Roman"/>
          <w:sz w:val="24"/>
          <w:szCs w:val="24"/>
        </w:rPr>
        <w:t xml:space="preserve"> vil nødvendiggøre et uforholdsmæssigt ressourceforbrug, </w:t>
      </w:r>
    </w:p>
    <w:p w:rsidR="0043160D" w:rsidRPr="009775C4" w:rsidRDefault="0043160D" w:rsidP="0043160D">
      <w:pPr>
        <w:numPr>
          <w:ilvl w:val="0"/>
          <w:numId w:val="4"/>
        </w:numPr>
        <w:tabs>
          <w:tab w:val="num" w:pos="2024"/>
        </w:tabs>
        <w:autoSpaceDE w:val="0"/>
        <w:autoSpaceDN w:val="0"/>
        <w:adjustRightInd w:val="0"/>
        <w:spacing w:before="100" w:after="100" w:line="240" w:lineRule="auto"/>
        <w:ind w:left="2024"/>
        <w:outlineLvl w:val="0"/>
        <w:rPr>
          <w:rFonts w:ascii="Times New Roman" w:hAnsi="Times New Roman" w:cs="Times New Roman"/>
          <w:sz w:val="24"/>
          <w:szCs w:val="24"/>
        </w:rPr>
      </w:pPr>
      <w:proofErr w:type="gramStart"/>
      <w:r w:rsidRPr="009775C4">
        <w:rPr>
          <w:rFonts w:ascii="Times New Roman" w:hAnsi="Times New Roman" w:cs="Times New Roman"/>
          <w:sz w:val="24"/>
          <w:szCs w:val="24"/>
        </w:rPr>
        <w:t>de</w:t>
      </w:r>
      <w:proofErr w:type="gramEnd"/>
      <w:r w:rsidRPr="009775C4">
        <w:rPr>
          <w:rFonts w:ascii="Times New Roman" w:hAnsi="Times New Roman" w:cs="Times New Roman"/>
          <w:sz w:val="24"/>
          <w:szCs w:val="24"/>
        </w:rPr>
        <w:t xml:space="preserve"> pågældende oplysninger fremgår af andre dokumenter, som udleveres i forbindelse med aktindsigten, eller</w:t>
      </w:r>
    </w:p>
    <w:p w:rsidR="0043160D" w:rsidRPr="009775C4" w:rsidRDefault="0043160D" w:rsidP="0043160D">
      <w:pPr>
        <w:numPr>
          <w:ilvl w:val="0"/>
          <w:numId w:val="4"/>
        </w:numPr>
        <w:tabs>
          <w:tab w:val="num" w:pos="720"/>
        </w:tabs>
        <w:autoSpaceDE w:val="0"/>
        <w:autoSpaceDN w:val="0"/>
        <w:adjustRightInd w:val="0"/>
        <w:spacing w:before="100" w:after="100" w:line="240" w:lineRule="auto"/>
        <w:ind w:left="2024"/>
        <w:outlineLvl w:val="0"/>
        <w:rPr>
          <w:rFonts w:ascii="Times New Roman" w:hAnsi="Times New Roman" w:cs="Times New Roman"/>
          <w:sz w:val="24"/>
          <w:szCs w:val="24"/>
        </w:rPr>
      </w:pPr>
      <w:proofErr w:type="gramStart"/>
      <w:r w:rsidRPr="009775C4">
        <w:rPr>
          <w:rFonts w:ascii="Times New Roman" w:hAnsi="Times New Roman" w:cs="Times New Roman"/>
          <w:sz w:val="24"/>
          <w:szCs w:val="24"/>
        </w:rPr>
        <w:t>oplysningerne</w:t>
      </w:r>
      <w:proofErr w:type="gramEnd"/>
      <w:r w:rsidRPr="009775C4">
        <w:rPr>
          <w:rFonts w:ascii="Times New Roman" w:hAnsi="Times New Roman" w:cs="Times New Roman"/>
          <w:sz w:val="24"/>
          <w:szCs w:val="24"/>
        </w:rPr>
        <w:t xml:space="preserve"> er offentligt tilgængelige. </w:t>
      </w:r>
    </w:p>
    <w:p w:rsidR="0043160D" w:rsidRPr="009775C4" w:rsidRDefault="0043160D" w:rsidP="0043160D">
      <w:pPr>
        <w:autoSpaceDE w:val="0"/>
        <w:autoSpaceDN w:val="0"/>
        <w:adjustRightInd w:val="0"/>
        <w:spacing w:before="100" w:after="100" w:line="240" w:lineRule="auto"/>
        <w:ind w:left="1304"/>
        <w:rPr>
          <w:rFonts w:ascii="Times New Roman" w:hAnsi="Times New Roman" w:cs="Times New Roman"/>
          <w:sz w:val="24"/>
          <w:szCs w:val="24"/>
        </w:rPr>
      </w:pPr>
      <w:r>
        <w:rPr>
          <w:rFonts w:ascii="Times New Roman" w:hAnsi="Times New Roman" w:cs="Times New Roman"/>
          <w:sz w:val="24"/>
          <w:szCs w:val="24"/>
        </w:rPr>
        <w:t xml:space="preserve">§ 29. </w:t>
      </w:r>
      <w:r w:rsidRPr="009775C4">
        <w:rPr>
          <w:rFonts w:ascii="Times New Roman" w:hAnsi="Times New Roman" w:cs="Times New Roman"/>
          <w:sz w:val="24"/>
          <w:szCs w:val="24"/>
        </w:rPr>
        <w:t xml:space="preserve">Retten til aktindsigt i dokumenter omfattet af § 23, § 24, stk. 1, § 25 og § 27, nr. 1-3, omfatter uanset disse bestemmelser oplysninger om interne faglige vurderinger i endelig form, i det omfang oplysningerne indgår i en sag om et fremsat lovforslag </w:t>
      </w:r>
      <w:r w:rsidRPr="009775C4">
        <w:rPr>
          <w:rFonts w:ascii="Times New Roman" w:hAnsi="Times New Roman" w:cs="Times New Roman"/>
          <w:sz w:val="24"/>
          <w:szCs w:val="24"/>
        </w:rPr>
        <w:lastRenderedPageBreak/>
        <w:t xml:space="preserve">eller en offentliggjort redegørelse, handlingsplan el.lign. Det gælder dog ikke oplysninger om interne faglige vurderinger, som findes i dokumenter, der er udarbejdet til brug for ministerrådgivning eller rådgivning af formandskabet for KL og for Danske Regioner. </w:t>
      </w:r>
    </w:p>
    <w:p w:rsidR="0043160D" w:rsidRPr="009775C4" w:rsidRDefault="0043160D" w:rsidP="0043160D">
      <w:pPr>
        <w:autoSpaceDE w:val="0"/>
        <w:autoSpaceDN w:val="0"/>
        <w:adjustRightInd w:val="0"/>
        <w:spacing w:before="100" w:after="100" w:line="240" w:lineRule="auto"/>
        <w:ind w:left="1304"/>
        <w:rPr>
          <w:rFonts w:ascii="Times New Roman" w:hAnsi="Times New Roman" w:cs="Times New Roman"/>
          <w:sz w:val="24"/>
          <w:szCs w:val="24"/>
        </w:rPr>
      </w:pPr>
      <w:r w:rsidRPr="009775C4">
        <w:rPr>
          <w:rFonts w:ascii="Times New Roman" w:hAnsi="Times New Roman" w:cs="Times New Roman"/>
          <w:sz w:val="24"/>
          <w:szCs w:val="24"/>
        </w:rPr>
        <w:t xml:space="preserve">Stk. 2. § 28, stk. 2, finder tilsvarende anvendelse. </w:t>
      </w:r>
    </w:p>
    <w:p w:rsidR="0043160D" w:rsidRPr="00DF2869" w:rsidRDefault="0043160D" w:rsidP="0043160D">
      <w:pPr>
        <w:autoSpaceDE w:val="0"/>
        <w:autoSpaceDN w:val="0"/>
        <w:adjustRightInd w:val="0"/>
        <w:spacing w:before="100" w:after="100" w:line="240" w:lineRule="auto"/>
        <w:ind w:left="1304"/>
        <w:outlineLvl w:val="0"/>
        <w:rPr>
          <w:rFonts w:ascii="Times New Roman" w:hAnsi="Times New Roman" w:cs="Times New Roman"/>
          <w:sz w:val="24"/>
          <w:szCs w:val="24"/>
        </w:rPr>
      </w:pPr>
    </w:p>
    <w:p w:rsidR="0043160D" w:rsidRPr="009775C4" w:rsidRDefault="0043160D" w:rsidP="0043160D">
      <w:pPr>
        <w:autoSpaceDE w:val="0"/>
        <w:autoSpaceDN w:val="0"/>
        <w:adjustRightInd w:val="0"/>
        <w:spacing w:before="100" w:after="100" w:line="240" w:lineRule="auto"/>
        <w:rPr>
          <w:rFonts w:ascii="Times New Roman" w:hAnsi="Times New Roman" w:cs="Times New Roman"/>
          <w:bCs/>
          <w:sz w:val="24"/>
          <w:szCs w:val="24"/>
          <w:u w:val="single"/>
        </w:rPr>
      </w:pPr>
      <w:r w:rsidRPr="009775C4">
        <w:rPr>
          <w:rFonts w:ascii="Times New Roman" w:hAnsi="Times New Roman" w:cs="Times New Roman"/>
          <w:bCs/>
          <w:sz w:val="24"/>
          <w:szCs w:val="24"/>
          <w:u w:val="single"/>
        </w:rPr>
        <w:t>Meroffentlighed</w:t>
      </w:r>
    </w:p>
    <w:p w:rsidR="0043160D" w:rsidRDefault="0043160D" w:rsidP="0043160D">
      <w:pPr>
        <w:autoSpaceDE w:val="0"/>
        <w:autoSpaceDN w:val="0"/>
        <w:adjustRightInd w:val="0"/>
        <w:spacing w:before="100" w:after="100" w:line="240" w:lineRule="auto"/>
        <w:rPr>
          <w:rFonts w:ascii="Times New Roman" w:hAnsi="Times New Roman" w:cs="Times New Roman"/>
          <w:bCs/>
          <w:sz w:val="24"/>
          <w:szCs w:val="24"/>
        </w:rPr>
      </w:pPr>
      <w:r w:rsidRPr="00635BA3">
        <w:rPr>
          <w:rFonts w:ascii="Times New Roman" w:hAnsi="Times New Roman" w:cs="Times New Roman"/>
          <w:bCs/>
          <w:sz w:val="24"/>
          <w:szCs w:val="24"/>
        </w:rPr>
        <w:t>Der gælder et meroffentlighedsprincip både i forvaltningsloven og offe</w:t>
      </w:r>
      <w:r>
        <w:rPr>
          <w:rFonts w:ascii="Times New Roman" w:hAnsi="Times New Roman" w:cs="Times New Roman"/>
          <w:bCs/>
          <w:sz w:val="24"/>
          <w:szCs w:val="24"/>
        </w:rPr>
        <w:t>n</w:t>
      </w:r>
      <w:r w:rsidRPr="00635BA3">
        <w:rPr>
          <w:rFonts w:ascii="Times New Roman" w:hAnsi="Times New Roman" w:cs="Times New Roman"/>
          <w:bCs/>
          <w:sz w:val="24"/>
          <w:szCs w:val="24"/>
        </w:rPr>
        <w:t>tlighedsloven</w:t>
      </w:r>
      <w:r w:rsidR="008962F4">
        <w:rPr>
          <w:rFonts w:ascii="Times New Roman" w:hAnsi="Times New Roman" w:cs="Times New Roman"/>
          <w:bCs/>
          <w:sz w:val="24"/>
          <w:szCs w:val="24"/>
        </w:rPr>
        <w:t>:</w:t>
      </w:r>
      <w:bookmarkStart w:id="0" w:name="_GoBack"/>
      <w:bookmarkEnd w:id="0"/>
    </w:p>
    <w:p w:rsidR="0043160D" w:rsidRPr="00635BA3" w:rsidRDefault="0043160D" w:rsidP="0043160D">
      <w:pPr>
        <w:autoSpaceDE w:val="0"/>
        <w:autoSpaceDN w:val="0"/>
        <w:adjustRightInd w:val="0"/>
        <w:spacing w:before="100" w:after="100" w:line="240" w:lineRule="auto"/>
        <w:rPr>
          <w:rFonts w:ascii="Times New Roman" w:hAnsi="Times New Roman" w:cs="Times New Roman"/>
          <w:bCs/>
          <w:i/>
          <w:sz w:val="24"/>
          <w:szCs w:val="24"/>
        </w:rPr>
      </w:pPr>
      <w:r w:rsidRPr="00635BA3">
        <w:rPr>
          <w:rFonts w:ascii="Times New Roman" w:hAnsi="Times New Roman" w:cs="Times New Roman"/>
          <w:bCs/>
          <w:i/>
          <w:sz w:val="24"/>
          <w:szCs w:val="24"/>
        </w:rPr>
        <w:t>Forvaltningsloven</w:t>
      </w:r>
    </w:p>
    <w:p w:rsidR="0043160D" w:rsidRDefault="0043160D" w:rsidP="0043160D">
      <w:pPr>
        <w:keepNext/>
        <w:autoSpaceDE w:val="0"/>
        <w:autoSpaceDN w:val="0"/>
        <w:adjustRightInd w:val="0"/>
        <w:spacing w:before="100" w:after="100" w:line="240" w:lineRule="auto"/>
        <w:ind w:left="1304"/>
        <w:outlineLvl w:val="3"/>
        <w:rPr>
          <w:rFonts w:ascii="Times New Roman" w:hAnsi="Times New Roman" w:cs="Times New Roman"/>
          <w:sz w:val="24"/>
          <w:szCs w:val="24"/>
        </w:rPr>
      </w:pPr>
      <w:r w:rsidRPr="00635BA3">
        <w:rPr>
          <w:rFonts w:ascii="Times New Roman" w:hAnsi="Times New Roman" w:cs="Times New Roman"/>
          <w:bCs/>
          <w:sz w:val="24"/>
          <w:szCs w:val="24"/>
        </w:rPr>
        <w:t>§ 10.</w:t>
      </w:r>
      <w:r>
        <w:rPr>
          <w:rFonts w:ascii="Times New Roman" w:hAnsi="Times New Roman" w:cs="Times New Roman"/>
          <w:b/>
          <w:bCs/>
          <w:sz w:val="28"/>
          <w:szCs w:val="28"/>
        </w:rPr>
        <w:t xml:space="preserve"> </w:t>
      </w:r>
      <w:r w:rsidRPr="00635BA3">
        <w:rPr>
          <w:rFonts w:ascii="Times New Roman" w:hAnsi="Times New Roman" w:cs="Times New Roman"/>
          <w:sz w:val="24"/>
          <w:szCs w:val="24"/>
        </w:rPr>
        <w:t>Det skal i forbindelse med behandlingen af en anmodning om aktindsigt overvejes, om der kan gives aktindsigt i dokumenter og oplysninger i videre omfang, end hvad der følger af §§ 12-15 b. Der kan gives aktindsigt i videre omfang, medmindre det vil være i strid med anden lovgivning, herunder regler om tavshedspligt og regler i lov om behandling af personoplysninger.</w:t>
      </w:r>
    </w:p>
    <w:p w:rsidR="0043160D" w:rsidRPr="00635BA3" w:rsidRDefault="0043160D" w:rsidP="0043160D">
      <w:pPr>
        <w:keepNext/>
        <w:autoSpaceDE w:val="0"/>
        <w:autoSpaceDN w:val="0"/>
        <w:adjustRightInd w:val="0"/>
        <w:spacing w:before="100" w:after="100" w:line="240" w:lineRule="auto"/>
        <w:ind w:left="1304"/>
        <w:outlineLvl w:val="3"/>
        <w:rPr>
          <w:rFonts w:ascii="Times New Roman" w:hAnsi="Times New Roman" w:cs="Times New Roman"/>
          <w:sz w:val="24"/>
          <w:szCs w:val="24"/>
        </w:rPr>
      </w:pPr>
      <w:r w:rsidRPr="00635BA3">
        <w:rPr>
          <w:rFonts w:ascii="Times New Roman" w:hAnsi="Times New Roman" w:cs="Times New Roman"/>
          <w:sz w:val="24"/>
          <w:szCs w:val="24"/>
        </w:rPr>
        <w:t>Stk. 2. Stk. 1 gælder også i forbindelse med behandlingen af en anmodning om aktindsigt i dokumenter og oplysninger, som indgår i sager, der er undtaget fra aktindsigt efter § 11.</w:t>
      </w:r>
    </w:p>
    <w:p w:rsidR="0043160D" w:rsidRPr="00635BA3" w:rsidRDefault="0043160D" w:rsidP="0043160D">
      <w:pPr>
        <w:autoSpaceDE w:val="0"/>
        <w:autoSpaceDN w:val="0"/>
        <w:adjustRightInd w:val="0"/>
        <w:spacing w:before="100" w:after="100" w:line="240" w:lineRule="auto"/>
        <w:rPr>
          <w:rFonts w:ascii="Times New Roman" w:hAnsi="Times New Roman" w:cs="Times New Roman"/>
          <w:bCs/>
          <w:i/>
          <w:sz w:val="24"/>
          <w:szCs w:val="24"/>
        </w:rPr>
      </w:pPr>
      <w:r w:rsidRPr="00635BA3">
        <w:rPr>
          <w:rFonts w:ascii="Times New Roman" w:hAnsi="Times New Roman" w:cs="Times New Roman"/>
          <w:bCs/>
          <w:i/>
          <w:sz w:val="24"/>
          <w:szCs w:val="24"/>
        </w:rPr>
        <w:t>Offentlighedsloven</w:t>
      </w:r>
    </w:p>
    <w:p w:rsidR="0043160D" w:rsidRPr="00635BA3" w:rsidRDefault="0043160D" w:rsidP="0043160D">
      <w:pPr>
        <w:keepNext/>
        <w:autoSpaceDE w:val="0"/>
        <w:autoSpaceDN w:val="0"/>
        <w:adjustRightInd w:val="0"/>
        <w:spacing w:before="100" w:after="100" w:line="240" w:lineRule="auto"/>
        <w:ind w:left="1304"/>
        <w:outlineLvl w:val="3"/>
        <w:rPr>
          <w:rFonts w:ascii="Times New Roman" w:hAnsi="Times New Roman" w:cs="Times New Roman"/>
          <w:sz w:val="24"/>
          <w:szCs w:val="24"/>
        </w:rPr>
      </w:pPr>
      <w:r w:rsidRPr="00635BA3">
        <w:rPr>
          <w:rFonts w:ascii="Times New Roman" w:hAnsi="Times New Roman" w:cs="Times New Roman"/>
          <w:bCs/>
          <w:sz w:val="24"/>
          <w:szCs w:val="24"/>
        </w:rPr>
        <w:t>§ 14.</w:t>
      </w:r>
      <w:r>
        <w:rPr>
          <w:rFonts w:ascii="Times New Roman" w:hAnsi="Times New Roman" w:cs="Times New Roman"/>
          <w:b/>
          <w:bCs/>
          <w:sz w:val="28"/>
          <w:szCs w:val="28"/>
        </w:rPr>
        <w:t xml:space="preserve"> </w:t>
      </w:r>
      <w:r w:rsidRPr="00635BA3">
        <w:rPr>
          <w:rFonts w:ascii="Times New Roman" w:hAnsi="Times New Roman" w:cs="Times New Roman"/>
          <w:sz w:val="24"/>
          <w:szCs w:val="24"/>
        </w:rPr>
        <w:t xml:space="preserve">Det skal i forbindelse med behandlingen af en anmodning om aktindsigt overvejes, om der kan gives aktindsigt i dokumenter og oplysninger i videre omfang, end hvad der følger af §§ 23-35. Der kan gives aktindsigt i videre omfang, medmindre det vil være i strid med anden lovgivning, herunder regler om tavshedspligt og regler i lov om behandling af personoplysninger. </w:t>
      </w:r>
    </w:p>
    <w:p w:rsidR="0043160D" w:rsidRPr="00635BA3" w:rsidRDefault="0043160D" w:rsidP="0043160D">
      <w:pPr>
        <w:autoSpaceDE w:val="0"/>
        <w:autoSpaceDN w:val="0"/>
        <w:adjustRightInd w:val="0"/>
        <w:spacing w:before="100" w:after="100" w:line="240" w:lineRule="auto"/>
        <w:ind w:left="1304"/>
        <w:rPr>
          <w:rFonts w:ascii="Times New Roman" w:hAnsi="Times New Roman" w:cs="Times New Roman"/>
          <w:sz w:val="24"/>
          <w:szCs w:val="24"/>
        </w:rPr>
      </w:pPr>
      <w:r w:rsidRPr="00635BA3">
        <w:rPr>
          <w:rFonts w:ascii="Times New Roman" w:hAnsi="Times New Roman" w:cs="Times New Roman"/>
          <w:sz w:val="24"/>
          <w:szCs w:val="24"/>
        </w:rPr>
        <w:t xml:space="preserve">Stk. 2. Stk. 1 gælder også i forbindelse med behandlingen af en anmodning om aktindsigt i dokumenter og oplysninger, som indgår i sager, der er undtaget fra aktindsigt efter §§ 19-21. </w:t>
      </w:r>
    </w:p>
    <w:p w:rsidR="0043160D" w:rsidRPr="0043160D" w:rsidRDefault="0043160D">
      <w:pPr>
        <w:rPr>
          <w:rFonts w:ascii="Times New Roman" w:hAnsi="Times New Roman" w:cs="Times New Roman"/>
          <w:sz w:val="24"/>
          <w:szCs w:val="24"/>
        </w:rPr>
      </w:pPr>
    </w:p>
    <w:sectPr w:rsidR="0043160D" w:rsidRPr="0043160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3D00688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49FD298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60D"/>
    <w:rsid w:val="0043160D"/>
    <w:rsid w:val="00446FBD"/>
    <w:rsid w:val="008962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33DC1-7536-4944-ABE0-C4D6B57E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890</Words>
  <Characters>5430</Characters>
  <Application>Microsoft Office Word</Application>
  <DocSecurity>0</DocSecurity>
  <Lines>45</Lines>
  <Paragraphs>12</Paragraphs>
  <ScaleCrop>false</ScaleCrop>
  <Company>skat</Company>
  <LinksUpToDate>false</LinksUpToDate>
  <CharactersWithSpaces>6308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Balsløv</dc:creator>
  <cp:keywords/>
  <dc:description/>
  <cp:lastModifiedBy>Hanne Balsløv</cp:lastModifiedBy>
  <cp:revision>2</cp:revision>
  <dcterms:created xsi:type="dcterms:W3CDTF">2017-12-18T09:40:00Z</dcterms:created>
  <dcterms:modified xsi:type="dcterms:W3CDTF">2017-12-18T09:55:00Z</dcterms:modified>
</cp:coreProperties>
</file>