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13" w:rsidRDefault="00AC2413">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right"/>
        <w:rPr>
          <w:b/>
          <w:bCs/>
          <w:sz w:val="24"/>
          <w:lang w:val="da-DK"/>
        </w:rPr>
      </w:pPr>
      <w:bookmarkStart w:id="0" w:name="_GoBack"/>
      <w:bookmarkEnd w:id="0"/>
    </w:p>
    <w:p w:rsidR="00AC2413" w:rsidRDefault="00AC2413">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left"/>
        <w:rPr>
          <w:b/>
          <w:bCs/>
          <w:sz w:val="24"/>
          <w:lang w:val="da-DK"/>
        </w:rPr>
      </w:pPr>
    </w:p>
    <w:p w:rsidR="00A9531B" w:rsidRDefault="00A9531B">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left"/>
        <w:rPr>
          <w:b/>
          <w:bCs/>
          <w:sz w:val="24"/>
          <w:lang w:val="da-DK"/>
        </w:rPr>
      </w:pPr>
    </w:p>
    <w:p w:rsidR="00AC2413" w:rsidRDefault="00A9531B">
      <w:pPr>
        <w:pStyle w:val="Sidehoved"/>
        <w:widowControl/>
        <w:tabs>
          <w:tab w:val="clear" w:pos="4819"/>
          <w:tab w:val="clear" w:pos="9638"/>
          <w:tab w:val="center" w:pos="4535"/>
          <w:tab w:val="left" w:pos="5100"/>
          <w:tab w:val="left" w:pos="5950"/>
          <w:tab w:val="left" w:pos="6800"/>
          <w:tab w:val="left" w:pos="7650"/>
          <w:tab w:val="left" w:pos="8500"/>
        </w:tabs>
        <w:spacing w:line="288" w:lineRule="auto"/>
        <w:jc w:val="left"/>
        <w:rPr>
          <w:sz w:val="24"/>
          <w:lang w:val="da-DK"/>
        </w:rPr>
      </w:pPr>
      <w:r>
        <w:rPr>
          <w:sz w:val="24"/>
          <w:lang w:val="da-DK"/>
        </w:rPr>
        <w:t>Oktober 2011</w:t>
      </w:r>
    </w:p>
    <w:p w:rsidR="00FC5A6F" w:rsidRDefault="00FC5A6F" w:rsidP="00FC5A6F">
      <w:pPr>
        <w:widowControl/>
        <w:tabs>
          <w:tab w:val="center" w:pos="4535"/>
          <w:tab w:val="left" w:pos="5100"/>
          <w:tab w:val="left" w:pos="5950"/>
          <w:tab w:val="left" w:pos="6800"/>
          <w:tab w:val="left" w:pos="7650"/>
          <w:tab w:val="left" w:pos="8500"/>
        </w:tabs>
        <w:spacing w:line="288" w:lineRule="auto"/>
        <w:jc w:val="left"/>
        <w:rPr>
          <w:rFonts w:ascii="Arial" w:hAnsi="Arial" w:cs="Arial"/>
          <w:b/>
          <w:bCs/>
          <w:sz w:val="28"/>
          <w:szCs w:val="28"/>
          <w:lang w:val="da-DK"/>
        </w:rPr>
      </w:pPr>
    </w:p>
    <w:p w:rsidR="00A9531B" w:rsidRPr="00A9531B" w:rsidRDefault="00A9531B" w:rsidP="00FC5A6F">
      <w:pPr>
        <w:widowControl/>
        <w:tabs>
          <w:tab w:val="center" w:pos="4535"/>
          <w:tab w:val="left" w:pos="5100"/>
          <w:tab w:val="left" w:pos="5950"/>
          <w:tab w:val="left" w:pos="6800"/>
          <w:tab w:val="left" w:pos="7650"/>
          <w:tab w:val="left" w:pos="8500"/>
        </w:tabs>
        <w:spacing w:line="288" w:lineRule="auto"/>
        <w:jc w:val="left"/>
        <w:rPr>
          <w:rFonts w:ascii="Arial" w:hAnsi="Arial" w:cs="Arial"/>
          <w:b/>
          <w:bCs/>
          <w:sz w:val="28"/>
          <w:szCs w:val="28"/>
          <w:lang w:val="da-DK"/>
        </w:rPr>
      </w:pPr>
      <w:r>
        <w:rPr>
          <w:rFonts w:ascii="Arial" w:hAnsi="Arial" w:cs="Arial"/>
          <w:b/>
          <w:bCs/>
          <w:sz w:val="28"/>
          <w:szCs w:val="28"/>
          <w:lang w:val="da-DK"/>
        </w:rPr>
        <w:t xml:space="preserve">Notat om styrket toldkontrol </w:t>
      </w:r>
    </w:p>
    <w:p w:rsidR="00AC2413" w:rsidRPr="00841477" w:rsidRDefault="00AC2413" w:rsidP="00FC5A6F">
      <w:pPr>
        <w:widowControl/>
        <w:tabs>
          <w:tab w:val="center" w:pos="4535"/>
          <w:tab w:val="left" w:pos="5100"/>
          <w:tab w:val="left" w:pos="5950"/>
          <w:tab w:val="left" w:pos="6800"/>
          <w:tab w:val="left" w:pos="7650"/>
          <w:tab w:val="left" w:pos="8500"/>
        </w:tabs>
        <w:spacing w:line="288" w:lineRule="auto"/>
        <w:jc w:val="left"/>
        <w:rPr>
          <w:lang w:val="da-DK"/>
        </w:rPr>
      </w:pPr>
      <w:r>
        <w:rPr>
          <w:b/>
          <w:bCs/>
          <w:sz w:val="24"/>
          <w:lang w:val="da-DK"/>
        </w:rPr>
        <w:tab/>
      </w:r>
    </w:p>
    <w:p w:rsidR="00AC2413" w:rsidRDefault="00AC2413" w:rsidP="007D5A01">
      <w:pPr>
        <w:pStyle w:val="Fed11"/>
      </w:pPr>
    </w:p>
    <w:p w:rsidR="00886D63" w:rsidRDefault="00AC2413">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
          <w:bCs/>
          <w:sz w:val="24"/>
          <w:lang w:val="da-DK"/>
        </w:rPr>
      </w:pPr>
      <w:r>
        <w:rPr>
          <w:b/>
          <w:bCs/>
          <w:sz w:val="24"/>
          <w:lang w:val="da-DK"/>
        </w:rPr>
        <w:t>Sagen kort</w:t>
      </w:r>
    </w:p>
    <w:p w:rsidR="007F0804" w:rsidRDefault="007F0804" w:rsidP="007F0804">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r>
        <w:rPr>
          <w:sz w:val="24"/>
          <w:lang w:val="da-DK"/>
        </w:rPr>
        <w:t xml:space="preserve">I maj måned 2011 blev der indgået en politisk aftale om styrket toldkontrol i Danmark. Den styrkede toldkontrol blev i praksis iværksat den 5. juli 2011 efter </w:t>
      </w:r>
      <w:r w:rsidR="00594947">
        <w:rPr>
          <w:sz w:val="24"/>
          <w:lang w:val="da-DK"/>
        </w:rPr>
        <w:t>endelig</w:t>
      </w:r>
      <w:r>
        <w:rPr>
          <w:sz w:val="24"/>
          <w:lang w:val="da-DK"/>
        </w:rPr>
        <w:t xml:space="preserve"> godkendelse i F</w:t>
      </w:r>
      <w:r>
        <w:rPr>
          <w:sz w:val="24"/>
          <w:lang w:val="da-DK"/>
        </w:rPr>
        <w:t>i</w:t>
      </w:r>
      <w:r>
        <w:rPr>
          <w:sz w:val="24"/>
          <w:lang w:val="da-DK"/>
        </w:rPr>
        <w:t xml:space="preserve">nansudvalget den 1. juli 2011. </w:t>
      </w:r>
      <w:r w:rsidR="003D79C5">
        <w:rPr>
          <w:sz w:val="24"/>
          <w:lang w:val="da-DK"/>
        </w:rPr>
        <w:t xml:space="preserve">Styrkelsen skete </w:t>
      </w:r>
      <w:r w:rsidR="00594947">
        <w:rPr>
          <w:sz w:val="24"/>
          <w:lang w:val="da-DK"/>
        </w:rPr>
        <w:t>med</w:t>
      </w:r>
      <w:r w:rsidR="003D79C5">
        <w:rPr>
          <w:sz w:val="24"/>
          <w:lang w:val="da-DK"/>
        </w:rPr>
        <w:t xml:space="preserve"> 50 </w:t>
      </w:r>
      <w:r w:rsidR="00602321">
        <w:rPr>
          <w:sz w:val="24"/>
          <w:lang w:val="da-DK"/>
        </w:rPr>
        <w:t>årsværk</w:t>
      </w:r>
      <w:r w:rsidR="003D79C5">
        <w:rPr>
          <w:sz w:val="24"/>
          <w:lang w:val="da-DK"/>
        </w:rPr>
        <w:t xml:space="preserve"> oven i den all</w:t>
      </w:r>
      <w:r w:rsidR="00602321">
        <w:rPr>
          <w:sz w:val="24"/>
          <w:lang w:val="da-DK"/>
        </w:rPr>
        <w:t>e</w:t>
      </w:r>
      <w:r w:rsidR="003D79C5">
        <w:rPr>
          <w:sz w:val="24"/>
          <w:lang w:val="da-DK"/>
        </w:rPr>
        <w:t>rede væ</w:t>
      </w:r>
      <w:r w:rsidR="00602321">
        <w:rPr>
          <w:sz w:val="24"/>
          <w:lang w:val="da-DK"/>
        </w:rPr>
        <w:t>rende basisstyrke på 142 årsværk</w:t>
      </w:r>
      <w:r w:rsidR="003D79C5">
        <w:rPr>
          <w:sz w:val="24"/>
          <w:lang w:val="da-DK"/>
        </w:rPr>
        <w:t xml:space="preserve">. </w:t>
      </w:r>
    </w:p>
    <w:p w:rsidR="007F0804" w:rsidRPr="00F87EC0" w:rsidRDefault="007F0804" w:rsidP="007F0804">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left="1440"/>
        <w:jc w:val="left"/>
        <w:rPr>
          <w:b/>
          <w:sz w:val="24"/>
          <w:lang w:val="da-DK"/>
        </w:rPr>
      </w:pPr>
    </w:p>
    <w:p w:rsidR="007F0804" w:rsidRDefault="007F0804" w:rsidP="007F0804">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r>
        <w:rPr>
          <w:sz w:val="24"/>
          <w:lang w:val="da-DK"/>
        </w:rPr>
        <w:t xml:space="preserve">I 2011 </w:t>
      </w:r>
      <w:r w:rsidR="003D79C5">
        <w:rPr>
          <w:sz w:val="24"/>
          <w:lang w:val="da-DK"/>
        </w:rPr>
        <w:t xml:space="preserve">har SKAT samtidig iværksat </w:t>
      </w:r>
      <w:r>
        <w:rPr>
          <w:sz w:val="24"/>
          <w:lang w:val="da-DK"/>
        </w:rPr>
        <w:t xml:space="preserve">projekt ”Styrket grænsekontrol”. Denne opgave har afsæt i Finanslovsaftalen, hvor SKAT </w:t>
      </w:r>
      <w:r w:rsidR="003D79C5">
        <w:rPr>
          <w:sz w:val="24"/>
          <w:lang w:val="da-DK"/>
        </w:rPr>
        <w:t>blev</w:t>
      </w:r>
      <w:r>
        <w:rPr>
          <w:sz w:val="24"/>
          <w:lang w:val="da-DK"/>
        </w:rPr>
        <w:t xml:space="preserve"> tilført 40 årsværk til toldkontrolopgaven. </w:t>
      </w:r>
    </w:p>
    <w:p w:rsidR="00454432" w:rsidRDefault="00454432">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AB425D" w:rsidRDefault="00454432">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r>
        <w:rPr>
          <w:bCs/>
          <w:sz w:val="24"/>
          <w:lang w:val="da-DK"/>
        </w:rPr>
        <w:t xml:space="preserve">Effekten </w:t>
      </w:r>
      <w:r w:rsidR="003D79C5">
        <w:rPr>
          <w:bCs/>
          <w:sz w:val="24"/>
          <w:lang w:val="da-DK"/>
        </w:rPr>
        <w:t xml:space="preserve">af den samlede toldkontrol </w:t>
      </w:r>
      <w:r>
        <w:rPr>
          <w:bCs/>
          <w:sz w:val="24"/>
          <w:lang w:val="da-DK"/>
        </w:rPr>
        <w:t xml:space="preserve">kan illustreres </w:t>
      </w:r>
      <w:r w:rsidR="003D79C5">
        <w:rPr>
          <w:bCs/>
          <w:sz w:val="24"/>
          <w:lang w:val="da-DK"/>
        </w:rPr>
        <w:t>i nedenstående</w:t>
      </w:r>
      <w:r w:rsidR="00151D41">
        <w:rPr>
          <w:bCs/>
          <w:sz w:val="24"/>
          <w:lang w:val="da-DK"/>
        </w:rPr>
        <w:t xml:space="preserve"> tabeller</w:t>
      </w:r>
      <w:r w:rsidR="003D79C5">
        <w:rPr>
          <w:bCs/>
          <w:sz w:val="24"/>
          <w:lang w:val="da-DK"/>
        </w:rPr>
        <w:t xml:space="preserve"> vedr. perioden 1. juli – 30. september 2011.</w:t>
      </w:r>
    </w:p>
    <w:tbl>
      <w:tblPr>
        <w:tblStyle w:val="Tabel-Gitter1"/>
        <w:tblpPr w:leftFromText="141" w:rightFromText="141" w:vertAnchor="text" w:tblpY="532"/>
        <w:tblW w:w="7905" w:type="dxa"/>
        <w:tblLayout w:type="fixed"/>
        <w:tblLook w:val="04A0" w:firstRow="1" w:lastRow="0" w:firstColumn="1" w:lastColumn="0" w:noHBand="0" w:noVBand="1"/>
      </w:tblPr>
      <w:tblGrid>
        <w:gridCol w:w="2093"/>
        <w:gridCol w:w="1559"/>
        <w:gridCol w:w="1276"/>
        <w:gridCol w:w="1559"/>
        <w:gridCol w:w="1418"/>
      </w:tblGrid>
      <w:tr w:rsidR="004579B6" w:rsidRPr="004B621D" w:rsidTr="007A2747">
        <w:trPr>
          <w:trHeight w:val="269"/>
        </w:trPr>
        <w:tc>
          <w:tcPr>
            <w:tcW w:w="2093" w:type="dxa"/>
            <w:vMerge w:val="restart"/>
          </w:tcPr>
          <w:p w:rsidR="004579B6" w:rsidRPr="004579B6" w:rsidRDefault="004579B6" w:rsidP="004579B6">
            <w:pPr>
              <w:widowControl/>
              <w:autoSpaceDE/>
              <w:autoSpaceDN/>
              <w:adjustRightInd/>
              <w:jc w:val="left"/>
              <w:rPr>
                <w:sz w:val="22"/>
                <w:lang w:val="da-DK"/>
              </w:rPr>
            </w:pPr>
          </w:p>
        </w:tc>
        <w:tc>
          <w:tcPr>
            <w:tcW w:w="1559" w:type="dxa"/>
            <w:vMerge w:val="restart"/>
          </w:tcPr>
          <w:p w:rsidR="004579B6" w:rsidRPr="004579B6" w:rsidRDefault="004579B6" w:rsidP="004579B6">
            <w:pPr>
              <w:widowControl/>
              <w:autoSpaceDE/>
              <w:autoSpaceDN/>
              <w:adjustRightInd/>
              <w:jc w:val="left"/>
              <w:rPr>
                <w:sz w:val="22"/>
                <w:lang w:val="da-DK"/>
              </w:rPr>
            </w:pPr>
            <w:r w:rsidRPr="004579B6">
              <w:rPr>
                <w:sz w:val="22"/>
                <w:lang w:val="da-DK"/>
              </w:rPr>
              <w:t>Canabis/</w:t>
            </w:r>
            <w:proofErr w:type="spellStart"/>
            <w:r w:rsidRPr="004579B6">
              <w:rPr>
                <w:sz w:val="22"/>
                <w:lang w:val="da-DK"/>
              </w:rPr>
              <w:t>Khat</w:t>
            </w:r>
            <w:proofErr w:type="spellEnd"/>
          </w:p>
        </w:tc>
        <w:tc>
          <w:tcPr>
            <w:tcW w:w="1276" w:type="dxa"/>
            <w:vMerge w:val="restart"/>
          </w:tcPr>
          <w:p w:rsidR="004579B6" w:rsidRPr="004579B6" w:rsidRDefault="004579B6" w:rsidP="004579B6">
            <w:pPr>
              <w:widowControl/>
              <w:autoSpaceDE/>
              <w:autoSpaceDN/>
              <w:adjustRightInd/>
              <w:jc w:val="left"/>
              <w:rPr>
                <w:sz w:val="22"/>
                <w:lang w:val="da-DK"/>
              </w:rPr>
            </w:pPr>
            <w:r w:rsidRPr="004579B6">
              <w:rPr>
                <w:sz w:val="22"/>
                <w:lang w:val="da-DK"/>
              </w:rPr>
              <w:t>Våben</w:t>
            </w:r>
            <w:r w:rsidR="00985BDC">
              <w:rPr>
                <w:sz w:val="22"/>
                <w:lang w:val="da-DK"/>
              </w:rPr>
              <w:t xml:space="preserve"> </w:t>
            </w:r>
          </w:p>
        </w:tc>
        <w:tc>
          <w:tcPr>
            <w:tcW w:w="1559" w:type="dxa"/>
            <w:vMerge w:val="restart"/>
          </w:tcPr>
          <w:p w:rsidR="004579B6" w:rsidRPr="004579B6" w:rsidRDefault="004579B6" w:rsidP="004579B6">
            <w:pPr>
              <w:widowControl/>
              <w:autoSpaceDE/>
              <w:autoSpaceDN/>
              <w:adjustRightInd/>
              <w:jc w:val="left"/>
              <w:rPr>
                <w:sz w:val="22"/>
                <w:lang w:val="da-DK"/>
              </w:rPr>
            </w:pPr>
            <w:r w:rsidRPr="004579B6">
              <w:rPr>
                <w:sz w:val="22"/>
                <w:lang w:val="da-DK"/>
              </w:rPr>
              <w:t>Lægemidler</w:t>
            </w:r>
          </w:p>
        </w:tc>
        <w:tc>
          <w:tcPr>
            <w:tcW w:w="1418" w:type="dxa"/>
            <w:vMerge w:val="restart"/>
          </w:tcPr>
          <w:p w:rsidR="004579B6" w:rsidRPr="004579B6" w:rsidRDefault="003D79C5" w:rsidP="004579B6">
            <w:pPr>
              <w:widowControl/>
              <w:autoSpaceDE/>
              <w:autoSpaceDN/>
              <w:adjustRightInd/>
              <w:jc w:val="left"/>
              <w:rPr>
                <w:sz w:val="22"/>
                <w:lang w:val="da-DK"/>
              </w:rPr>
            </w:pPr>
            <w:r>
              <w:rPr>
                <w:sz w:val="22"/>
                <w:lang w:val="da-DK"/>
              </w:rPr>
              <w:t>Ikke angivne pengebeløb ved ind- eller udførsel</w:t>
            </w:r>
          </w:p>
        </w:tc>
      </w:tr>
      <w:tr w:rsidR="004579B6" w:rsidRPr="004B621D"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B621D"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579B6" w:rsidTr="007A2747">
        <w:trPr>
          <w:trHeight w:val="269"/>
        </w:trPr>
        <w:tc>
          <w:tcPr>
            <w:tcW w:w="2093" w:type="dxa"/>
            <w:vMerge w:val="restart"/>
          </w:tcPr>
          <w:p w:rsidR="004579B6" w:rsidRDefault="00BE2738" w:rsidP="004579B6">
            <w:pPr>
              <w:widowControl/>
              <w:autoSpaceDE/>
              <w:autoSpaceDN/>
              <w:adjustRightInd/>
              <w:jc w:val="left"/>
              <w:rPr>
                <w:sz w:val="22"/>
                <w:lang w:val="da-DK"/>
              </w:rPr>
            </w:pPr>
            <w:r>
              <w:rPr>
                <w:sz w:val="22"/>
                <w:lang w:val="da-DK"/>
              </w:rPr>
              <w:t>Resultater af tol</w:t>
            </w:r>
            <w:r>
              <w:rPr>
                <w:sz w:val="22"/>
                <w:lang w:val="da-DK"/>
              </w:rPr>
              <w:t>d</w:t>
            </w:r>
            <w:r>
              <w:rPr>
                <w:sz w:val="22"/>
                <w:lang w:val="da-DK"/>
              </w:rPr>
              <w:t xml:space="preserve">kontrollen </w:t>
            </w:r>
          </w:p>
          <w:p w:rsidR="00BE2738" w:rsidRPr="004579B6" w:rsidRDefault="00BE2738" w:rsidP="004579B6">
            <w:pPr>
              <w:widowControl/>
              <w:autoSpaceDE/>
              <w:autoSpaceDN/>
              <w:adjustRightInd/>
              <w:jc w:val="left"/>
              <w:rPr>
                <w:sz w:val="22"/>
                <w:lang w:val="da-DK"/>
              </w:rPr>
            </w:pPr>
            <w:r>
              <w:rPr>
                <w:sz w:val="22"/>
                <w:lang w:val="da-DK"/>
              </w:rPr>
              <w:t>(basis årsværk 192)</w:t>
            </w:r>
          </w:p>
          <w:p w:rsidR="004579B6" w:rsidRPr="004579B6" w:rsidRDefault="004579B6" w:rsidP="004579B6">
            <w:pPr>
              <w:widowControl/>
              <w:autoSpaceDE/>
              <w:autoSpaceDN/>
              <w:adjustRightInd/>
              <w:jc w:val="left"/>
              <w:rPr>
                <w:sz w:val="22"/>
                <w:lang w:val="da-DK"/>
              </w:rPr>
            </w:pPr>
          </w:p>
        </w:tc>
        <w:tc>
          <w:tcPr>
            <w:tcW w:w="1559" w:type="dxa"/>
            <w:vMerge w:val="restart"/>
          </w:tcPr>
          <w:p w:rsidR="004579B6" w:rsidRPr="004579B6" w:rsidRDefault="00287C09" w:rsidP="004579B6">
            <w:pPr>
              <w:widowControl/>
              <w:autoSpaceDE/>
              <w:autoSpaceDN/>
              <w:adjustRightInd/>
              <w:jc w:val="right"/>
              <w:rPr>
                <w:sz w:val="22"/>
                <w:lang w:val="da-DK"/>
              </w:rPr>
            </w:pPr>
            <w:r>
              <w:rPr>
                <w:sz w:val="22"/>
                <w:lang w:val="da-DK"/>
              </w:rPr>
              <w:t>3.514</w:t>
            </w:r>
            <w:r w:rsidR="00D256E0">
              <w:rPr>
                <w:sz w:val="22"/>
                <w:lang w:val="da-DK"/>
              </w:rPr>
              <w:t xml:space="preserve"> kg</w:t>
            </w:r>
            <w:r w:rsidR="004579B6" w:rsidRPr="004579B6">
              <w:rPr>
                <w:sz w:val="22"/>
                <w:lang w:val="da-DK"/>
              </w:rPr>
              <w:t xml:space="preserve">      </w:t>
            </w:r>
          </w:p>
        </w:tc>
        <w:tc>
          <w:tcPr>
            <w:tcW w:w="1276" w:type="dxa"/>
            <w:vMerge w:val="restart"/>
          </w:tcPr>
          <w:p w:rsidR="004579B6" w:rsidRPr="004579B6" w:rsidRDefault="004579B6" w:rsidP="00D256E0">
            <w:pPr>
              <w:widowControl/>
              <w:autoSpaceDE/>
              <w:autoSpaceDN/>
              <w:adjustRightInd/>
              <w:jc w:val="center"/>
              <w:rPr>
                <w:sz w:val="22"/>
                <w:lang w:val="da-DK"/>
              </w:rPr>
            </w:pPr>
            <w:r w:rsidRPr="004579B6">
              <w:rPr>
                <w:sz w:val="22"/>
                <w:lang w:val="da-DK"/>
              </w:rPr>
              <w:t xml:space="preserve">240 </w:t>
            </w:r>
            <w:proofErr w:type="spellStart"/>
            <w:r w:rsidRPr="004579B6">
              <w:rPr>
                <w:sz w:val="22"/>
                <w:lang w:val="da-DK"/>
              </w:rPr>
              <w:t>stk</w:t>
            </w:r>
            <w:proofErr w:type="spellEnd"/>
            <w:r w:rsidR="00594947">
              <w:rPr>
                <w:sz w:val="22"/>
                <w:lang w:val="da-DK"/>
              </w:rPr>
              <w:t>*</w:t>
            </w:r>
          </w:p>
        </w:tc>
        <w:tc>
          <w:tcPr>
            <w:tcW w:w="1559" w:type="dxa"/>
            <w:vMerge w:val="restart"/>
          </w:tcPr>
          <w:p w:rsidR="004579B6" w:rsidRPr="004579B6" w:rsidRDefault="004579B6" w:rsidP="00D256E0">
            <w:pPr>
              <w:widowControl/>
              <w:autoSpaceDE/>
              <w:autoSpaceDN/>
              <w:adjustRightInd/>
              <w:jc w:val="right"/>
              <w:rPr>
                <w:sz w:val="22"/>
                <w:lang w:val="da-DK"/>
              </w:rPr>
            </w:pPr>
            <w:r w:rsidRPr="004579B6">
              <w:rPr>
                <w:sz w:val="22"/>
                <w:lang w:val="da-DK"/>
              </w:rPr>
              <w:t xml:space="preserve">33.991 </w:t>
            </w:r>
            <w:proofErr w:type="spellStart"/>
            <w:r w:rsidRPr="004579B6">
              <w:rPr>
                <w:sz w:val="22"/>
                <w:lang w:val="da-DK"/>
              </w:rPr>
              <w:t>stk</w:t>
            </w:r>
            <w:proofErr w:type="spellEnd"/>
          </w:p>
        </w:tc>
        <w:tc>
          <w:tcPr>
            <w:tcW w:w="1418" w:type="dxa"/>
            <w:vMerge w:val="restart"/>
          </w:tcPr>
          <w:p w:rsidR="004579B6" w:rsidRPr="004579B6" w:rsidRDefault="004579B6" w:rsidP="004579B6">
            <w:pPr>
              <w:widowControl/>
              <w:autoSpaceDE/>
              <w:autoSpaceDN/>
              <w:adjustRightInd/>
              <w:jc w:val="right"/>
              <w:rPr>
                <w:sz w:val="22"/>
                <w:lang w:val="da-DK"/>
              </w:rPr>
            </w:pPr>
            <w:r w:rsidRPr="004579B6">
              <w:rPr>
                <w:sz w:val="22"/>
                <w:lang w:val="da-DK"/>
              </w:rPr>
              <w:t xml:space="preserve">6.000.000 </w:t>
            </w:r>
            <w:proofErr w:type="spellStart"/>
            <w:r w:rsidRPr="004579B6">
              <w:rPr>
                <w:sz w:val="22"/>
                <w:lang w:val="da-DK"/>
              </w:rPr>
              <w:t>kr</w:t>
            </w:r>
            <w:proofErr w:type="spellEnd"/>
          </w:p>
        </w:tc>
      </w:tr>
      <w:tr w:rsidR="004579B6" w:rsidRPr="004579B6"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579B6"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579B6" w:rsidTr="007A2747">
        <w:trPr>
          <w:trHeight w:val="269"/>
        </w:trPr>
        <w:tc>
          <w:tcPr>
            <w:tcW w:w="2093" w:type="dxa"/>
            <w:vMerge w:val="restart"/>
          </w:tcPr>
          <w:p w:rsidR="004579B6" w:rsidRPr="004579B6" w:rsidRDefault="004579B6" w:rsidP="004579B6">
            <w:pPr>
              <w:widowControl/>
              <w:autoSpaceDE/>
              <w:autoSpaceDN/>
              <w:adjustRightInd/>
              <w:jc w:val="left"/>
              <w:rPr>
                <w:sz w:val="22"/>
                <w:lang w:val="da-DK"/>
              </w:rPr>
            </w:pPr>
            <w:r w:rsidRPr="004579B6">
              <w:rPr>
                <w:sz w:val="22"/>
                <w:lang w:val="da-DK"/>
              </w:rPr>
              <w:t>Finanslovprojektet</w:t>
            </w:r>
          </w:p>
          <w:p w:rsidR="004579B6" w:rsidRPr="004579B6" w:rsidRDefault="004579B6" w:rsidP="004579B6">
            <w:pPr>
              <w:widowControl/>
              <w:autoSpaceDE/>
              <w:autoSpaceDN/>
              <w:adjustRightInd/>
              <w:jc w:val="left"/>
              <w:rPr>
                <w:sz w:val="22"/>
                <w:lang w:val="da-DK"/>
              </w:rPr>
            </w:pPr>
            <w:r w:rsidRPr="004579B6">
              <w:rPr>
                <w:sz w:val="22"/>
                <w:lang w:val="da-DK"/>
              </w:rPr>
              <w:t>af 1. januar 2011</w:t>
            </w:r>
          </w:p>
          <w:p w:rsidR="004579B6" w:rsidRPr="004579B6" w:rsidRDefault="004579B6" w:rsidP="004579B6">
            <w:pPr>
              <w:widowControl/>
              <w:autoSpaceDE/>
              <w:autoSpaceDN/>
              <w:adjustRightInd/>
              <w:jc w:val="left"/>
              <w:rPr>
                <w:sz w:val="22"/>
                <w:lang w:val="da-DK"/>
              </w:rPr>
            </w:pPr>
            <w:r w:rsidRPr="004579B6">
              <w:rPr>
                <w:sz w:val="22"/>
                <w:lang w:val="da-DK"/>
              </w:rPr>
              <w:t>(40 årsværk)</w:t>
            </w:r>
          </w:p>
        </w:tc>
        <w:tc>
          <w:tcPr>
            <w:tcW w:w="1559" w:type="dxa"/>
            <w:vMerge w:val="restart"/>
          </w:tcPr>
          <w:p w:rsidR="004579B6" w:rsidRPr="004579B6" w:rsidRDefault="009729A6" w:rsidP="004579B6">
            <w:pPr>
              <w:widowControl/>
              <w:autoSpaceDE/>
              <w:autoSpaceDN/>
              <w:adjustRightInd/>
              <w:jc w:val="right"/>
              <w:rPr>
                <w:sz w:val="22"/>
                <w:lang w:val="da-DK"/>
              </w:rPr>
            </w:pPr>
            <w:r>
              <w:rPr>
                <w:sz w:val="22"/>
                <w:lang w:val="da-DK"/>
              </w:rPr>
              <w:t>182 kg</w:t>
            </w:r>
            <w:r w:rsidR="004579B6" w:rsidRPr="004579B6">
              <w:rPr>
                <w:sz w:val="22"/>
                <w:lang w:val="da-DK"/>
              </w:rPr>
              <w:t xml:space="preserve">        </w:t>
            </w:r>
          </w:p>
        </w:tc>
        <w:tc>
          <w:tcPr>
            <w:tcW w:w="1276" w:type="dxa"/>
            <w:vMerge w:val="restart"/>
          </w:tcPr>
          <w:p w:rsidR="004579B6" w:rsidRPr="004579B6" w:rsidRDefault="00D256E0" w:rsidP="00D256E0">
            <w:pPr>
              <w:widowControl/>
              <w:autoSpaceDE/>
              <w:autoSpaceDN/>
              <w:adjustRightInd/>
              <w:jc w:val="center"/>
              <w:rPr>
                <w:sz w:val="22"/>
                <w:lang w:val="da-DK"/>
              </w:rPr>
            </w:pPr>
            <w:r>
              <w:rPr>
                <w:sz w:val="22"/>
                <w:lang w:val="da-DK"/>
              </w:rPr>
              <w:t xml:space="preserve">   53 </w:t>
            </w:r>
            <w:proofErr w:type="spellStart"/>
            <w:r>
              <w:rPr>
                <w:sz w:val="22"/>
                <w:lang w:val="da-DK"/>
              </w:rPr>
              <w:t>stk</w:t>
            </w:r>
            <w:proofErr w:type="spellEnd"/>
            <w:r w:rsidR="00594947">
              <w:rPr>
                <w:sz w:val="22"/>
                <w:lang w:val="da-DK"/>
              </w:rPr>
              <w:t>**</w:t>
            </w:r>
          </w:p>
        </w:tc>
        <w:tc>
          <w:tcPr>
            <w:tcW w:w="1559" w:type="dxa"/>
            <w:vMerge w:val="restart"/>
          </w:tcPr>
          <w:p w:rsidR="004579B6" w:rsidRPr="004579B6" w:rsidRDefault="004579B6" w:rsidP="004579B6">
            <w:pPr>
              <w:widowControl/>
              <w:autoSpaceDE/>
              <w:autoSpaceDN/>
              <w:adjustRightInd/>
              <w:jc w:val="right"/>
              <w:rPr>
                <w:sz w:val="22"/>
                <w:lang w:val="da-DK"/>
              </w:rPr>
            </w:pPr>
            <w:r w:rsidRPr="004579B6">
              <w:rPr>
                <w:sz w:val="22"/>
                <w:lang w:val="da-DK"/>
              </w:rPr>
              <w:t xml:space="preserve">4.522 </w:t>
            </w:r>
            <w:proofErr w:type="spellStart"/>
            <w:r w:rsidRPr="004579B6">
              <w:rPr>
                <w:sz w:val="22"/>
                <w:lang w:val="da-DK"/>
              </w:rPr>
              <w:t>stk</w:t>
            </w:r>
            <w:proofErr w:type="spellEnd"/>
          </w:p>
        </w:tc>
        <w:tc>
          <w:tcPr>
            <w:tcW w:w="1418" w:type="dxa"/>
            <w:vMerge w:val="restart"/>
          </w:tcPr>
          <w:p w:rsidR="004579B6" w:rsidRPr="004579B6" w:rsidRDefault="004579B6" w:rsidP="004579B6">
            <w:pPr>
              <w:widowControl/>
              <w:autoSpaceDE/>
              <w:autoSpaceDN/>
              <w:adjustRightInd/>
              <w:jc w:val="right"/>
              <w:rPr>
                <w:sz w:val="22"/>
                <w:lang w:val="da-DK"/>
              </w:rPr>
            </w:pPr>
            <w:r w:rsidRPr="004579B6">
              <w:rPr>
                <w:sz w:val="22"/>
                <w:lang w:val="da-DK"/>
              </w:rPr>
              <w:t xml:space="preserve">834.000 </w:t>
            </w:r>
            <w:proofErr w:type="spellStart"/>
            <w:r w:rsidRPr="004579B6">
              <w:rPr>
                <w:sz w:val="22"/>
                <w:lang w:val="da-DK"/>
              </w:rPr>
              <w:t>kr</w:t>
            </w:r>
            <w:proofErr w:type="spellEnd"/>
          </w:p>
        </w:tc>
      </w:tr>
      <w:tr w:rsidR="004579B6" w:rsidRPr="004579B6"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579B6"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579B6" w:rsidTr="007A2747">
        <w:trPr>
          <w:trHeight w:val="269"/>
        </w:trPr>
        <w:tc>
          <w:tcPr>
            <w:tcW w:w="2093" w:type="dxa"/>
            <w:vMerge w:val="restart"/>
          </w:tcPr>
          <w:p w:rsidR="004579B6" w:rsidRPr="004579B6" w:rsidRDefault="004579B6" w:rsidP="004579B6">
            <w:pPr>
              <w:widowControl/>
              <w:autoSpaceDE/>
              <w:autoSpaceDN/>
              <w:adjustRightInd/>
              <w:jc w:val="left"/>
              <w:rPr>
                <w:b/>
                <w:sz w:val="22"/>
                <w:lang w:val="da-DK"/>
              </w:rPr>
            </w:pPr>
            <w:r w:rsidRPr="004579B6">
              <w:rPr>
                <w:b/>
                <w:sz w:val="22"/>
                <w:lang w:val="da-DK"/>
              </w:rPr>
              <w:t>I alt for perioden</w:t>
            </w:r>
          </w:p>
          <w:p w:rsidR="004579B6" w:rsidRDefault="004579B6" w:rsidP="004579B6">
            <w:pPr>
              <w:widowControl/>
              <w:autoSpaceDE/>
              <w:autoSpaceDN/>
              <w:adjustRightInd/>
              <w:jc w:val="left"/>
              <w:rPr>
                <w:b/>
                <w:sz w:val="22"/>
                <w:lang w:val="da-DK"/>
              </w:rPr>
            </w:pPr>
            <w:r w:rsidRPr="004579B6">
              <w:rPr>
                <w:b/>
                <w:sz w:val="22"/>
                <w:lang w:val="da-DK"/>
              </w:rPr>
              <w:t>01.07.11 – 30.09.11</w:t>
            </w:r>
          </w:p>
          <w:p w:rsidR="003D79C5" w:rsidRPr="004579B6" w:rsidRDefault="00356678" w:rsidP="004579B6">
            <w:pPr>
              <w:widowControl/>
              <w:autoSpaceDE/>
              <w:autoSpaceDN/>
              <w:adjustRightInd/>
              <w:jc w:val="left"/>
              <w:rPr>
                <w:sz w:val="22"/>
                <w:lang w:val="da-DK"/>
              </w:rPr>
            </w:pPr>
            <w:r>
              <w:rPr>
                <w:b/>
                <w:sz w:val="22"/>
                <w:lang w:val="da-DK"/>
              </w:rPr>
              <w:t>(i alt 232</w:t>
            </w:r>
            <w:r w:rsidR="003D79C5">
              <w:rPr>
                <w:b/>
                <w:sz w:val="22"/>
                <w:lang w:val="da-DK"/>
              </w:rPr>
              <w:t xml:space="preserve"> årsværk)</w:t>
            </w:r>
          </w:p>
        </w:tc>
        <w:tc>
          <w:tcPr>
            <w:tcW w:w="1559" w:type="dxa"/>
            <w:vMerge w:val="restart"/>
          </w:tcPr>
          <w:p w:rsidR="004579B6" w:rsidRPr="004579B6" w:rsidRDefault="009729A6" w:rsidP="009729A6">
            <w:pPr>
              <w:widowControl/>
              <w:autoSpaceDE/>
              <w:autoSpaceDN/>
              <w:adjustRightInd/>
              <w:jc w:val="right"/>
              <w:rPr>
                <w:b/>
                <w:sz w:val="22"/>
                <w:lang w:val="da-DK"/>
              </w:rPr>
            </w:pPr>
            <w:r>
              <w:rPr>
                <w:b/>
                <w:sz w:val="22"/>
                <w:lang w:val="da-DK"/>
              </w:rPr>
              <w:t>3.696 kg</w:t>
            </w:r>
          </w:p>
        </w:tc>
        <w:tc>
          <w:tcPr>
            <w:tcW w:w="1276" w:type="dxa"/>
            <w:vMerge w:val="restart"/>
          </w:tcPr>
          <w:p w:rsidR="004579B6" w:rsidRPr="004579B6" w:rsidRDefault="00D256E0" w:rsidP="00D256E0">
            <w:pPr>
              <w:widowControl/>
              <w:autoSpaceDE/>
              <w:autoSpaceDN/>
              <w:adjustRightInd/>
              <w:rPr>
                <w:b/>
                <w:sz w:val="22"/>
                <w:lang w:val="da-DK"/>
              </w:rPr>
            </w:pPr>
            <w:r>
              <w:rPr>
                <w:b/>
                <w:sz w:val="22"/>
                <w:lang w:val="da-DK"/>
              </w:rPr>
              <w:t xml:space="preserve"> </w:t>
            </w:r>
            <w:r w:rsidR="004579B6" w:rsidRPr="004579B6">
              <w:rPr>
                <w:b/>
                <w:sz w:val="22"/>
                <w:lang w:val="da-DK"/>
              </w:rPr>
              <w:t xml:space="preserve">293 </w:t>
            </w:r>
            <w:proofErr w:type="spellStart"/>
            <w:r w:rsidR="004579B6" w:rsidRPr="004579B6">
              <w:rPr>
                <w:b/>
                <w:sz w:val="22"/>
                <w:lang w:val="da-DK"/>
              </w:rPr>
              <w:t>stk</w:t>
            </w:r>
            <w:proofErr w:type="spellEnd"/>
          </w:p>
        </w:tc>
        <w:tc>
          <w:tcPr>
            <w:tcW w:w="1559" w:type="dxa"/>
            <w:vMerge w:val="restart"/>
          </w:tcPr>
          <w:p w:rsidR="004579B6" w:rsidRPr="004579B6" w:rsidRDefault="004579B6" w:rsidP="004579B6">
            <w:pPr>
              <w:widowControl/>
              <w:autoSpaceDE/>
              <w:autoSpaceDN/>
              <w:adjustRightInd/>
              <w:jc w:val="right"/>
              <w:rPr>
                <w:sz w:val="22"/>
                <w:lang w:val="da-DK"/>
              </w:rPr>
            </w:pPr>
            <w:r w:rsidRPr="004579B6">
              <w:rPr>
                <w:b/>
                <w:sz w:val="22"/>
                <w:lang w:val="da-DK"/>
              </w:rPr>
              <w:t xml:space="preserve">38.513 </w:t>
            </w:r>
            <w:proofErr w:type="spellStart"/>
            <w:r w:rsidRPr="004579B6">
              <w:rPr>
                <w:b/>
                <w:sz w:val="22"/>
                <w:lang w:val="da-DK"/>
              </w:rPr>
              <w:t>stk</w:t>
            </w:r>
            <w:proofErr w:type="spellEnd"/>
          </w:p>
        </w:tc>
        <w:tc>
          <w:tcPr>
            <w:tcW w:w="1418" w:type="dxa"/>
            <w:vMerge w:val="restart"/>
          </w:tcPr>
          <w:p w:rsidR="004579B6" w:rsidRPr="004579B6" w:rsidRDefault="004579B6" w:rsidP="004579B6">
            <w:pPr>
              <w:widowControl/>
              <w:autoSpaceDE/>
              <w:autoSpaceDN/>
              <w:adjustRightInd/>
              <w:jc w:val="right"/>
              <w:rPr>
                <w:b/>
                <w:sz w:val="22"/>
                <w:lang w:val="da-DK"/>
              </w:rPr>
            </w:pPr>
            <w:r w:rsidRPr="004579B6">
              <w:rPr>
                <w:b/>
                <w:sz w:val="22"/>
                <w:lang w:val="da-DK"/>
              </w:rPr>
              <w:t xml:space="preserve">6.834.000 </w:t>
            </w:r>
            <w:proofErr w:type="spellStart"/>
            <w:r w:rsidRPr="004579B6">
              <w:rPr>
                <w:b/>
                <w:sz w:val="22"/>
                <w:lang w:val="da-DK"/>
              </w:rPr>
              <w:t>kr</w:t>
            </w:r>
            <w:proofErr w:type="spellEnd"/>
          </w:p>
        </w:tc>
      </w:tr>
      <w:tr w:rsidR="004579B6" w:rsidRPr="004579B6"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579B6" w:rsidTr="007A2747">
        <w:trPr>
          <w:trHeight w:val="269"/>
        </w:trPr>
        <w:tc>
          <w:tcPr>
            <w:tcW w:w="2093"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276" w:type="dxa"/>
            <w:vMerge/>
          </w:tcPr>
          <w:p w:rsidR="004579B6" w:rsidRPr="004579B6" w:rsidRDefault="004579B6" w:rsidP="004579B6">
            <w:pPr>
              <w:widowControl/>
              <w:autoSpaceDE/>
              <w:autoSpaceDN/>
              <w:adjustRightInd/>
              <w:jc w:val="left"/>
              <w:rPr>
                <w:sz w:val="22"/>
                <w:lang w:val="da-DK"/>
              </w:rPr>
            </w:pPr>
          </w:p>
        </w:tc>
        <w:tc>
          <w:tcPr>
            <w:tcW w:w="1559" w:type="dxa"/>
            <w:vMerge/>
          </w:tcPr>
          <w:p w:rsidR="004579B6" w:rsidRPr="004579B6" w:rsidRDefault="004579B6" w:rsidP="004579B6">
            <w:pPr>
              <w:widowControl/>
              <w:autoSpaceDE/>
              <w:autoSpaceDN/>
              <w:adjustRightInd/>
              <w:jc w:val="left"/>
              <w:rPr>
                <w:sz w:val="22"/>
                <w:lang w:val="da-DK"/>
              </w:rPr>
            </w:pPr>
          </w:p>
        </w:tc>
        <w:tc>
          <w:tcPr>
            <w:tcW w:w="1418" w:type="dxa"/>
            <w:vMerge/>
          </w:tcPr>
          <w:p w:rsidR="004579B6" w:rsidRPr="004579B6" w:rsidRDefault="004579B6" w:rsidP="004579B6">
            <w:pPr>
              <w:widowControl/>
              <w:autoSpaceDE/>
              <w:autoSpaceDN/>
              <w:adjustRightInd/>
              <w:jc w:val="left"/>
              <w:rPr>
                <w:sz w:val="22"/>
                <w:lang w:val="da-DK"/>
              </w:rPr>
            </w:pPr>
          </w:p>
        </w:tc>
      </w:tr>
      <w:tr w:rsidR="004579B6" w:rsidRPr="004579B6" w:rsidTr="007A2747">
        <w:tc>
          <w:tcPr>
            <w:tcW w:w="2093" w:type="dxa"/>
          </w:tcPr>
          <w:p w:rsidR="004579B6" w:rsidRPr="003D79C5" w:rsidRDefault="004579B6" w:rsidP="004579B6">
            <w:pPr>
              <w:widowControl/>
              <w:autoSpaceDE/>
              <w:autoSpaceDN/>
              <w:adjustRightInd/>
              <w:jc w:val="left"/>
              <w:rPr>
                <w:b/>
                <w:i/>
                <w:sz w:val="22"/>
                <w:lang w:val="da-DK"/>
              </w:rPr>
            </w:pPr>
            <w:r w:rsidRPr="003D79C5">
              <w:rPr>
                <w:b/>
                <w:i/>
                <w:sz w:val="22"/>
                <w:lang w:val="da-DK"/>
              </w:rPr>
              <w:t>I alt for perioden</w:t>
            </w:r>
          </w:p>
          <w:p w:rsidR="004579B6" w:rsidRDefault="004579B6" w:rsidP="004579B6">
            <w:pPr>
              <w:widowControl/>
              <w:autoSpaceDE/>
              <w:autoSpaceDN/>
              <w:adjustRightInd/>
              <w:jc w:val="left"/>
              <w:rPr>
                <w:b/>
                <w:i/>
                <w:sz w:val="22"/>
                <w:lang w:val="da-DK"/>
              </w:rPr>
            </w:pPr>
            <w:r w:rsidRPr="003D79C5">
              <w:rPr>
                <w:b/>
                <w:i/>
                <w:sz w:val="22"/>
                <w:lang w:val="da-DK"/>
              </w:rPr>
              <w:t>01.07.10 -30.09.10</w:t>
            </w:r>
          </w:p>
          <w:p w:rsidR="003D79C5" w:rsidRPr="004579B6" w:rsidRDefault="003D79C5" w:rsidP="004579B6">
            <w:pPr>
              <w:widowControl/>
              <w:autoSpaceDE/>
              <w:autoSpaceDN/>
              <w:adjustRightInd/>
              <w:jc w:val="left"/>
              <w:rPr>
                <w:sz w:val="22"/>
                <w:lang w:val="da-DK"/>
              </w:rPr>
            </w:pPr>
            <w:r>
              <w:rPr>
                <w:b/>
                <w:i/>
                <w:sz w:val="22"/>
                <w:lang w:val="da-DK"/>
              </w:rPr>
              <w:t>(i alt 142 basis år</w:t>
            </w:r>
            <w:r>
              <w:rPr>
                <w:b/>
                <w:i/>
                <w:sz w:val="22"/>
                <w:lang w:val="da-DK"/>
              </w:rPr>
              <w:t>s</w:t>
            </w:r>
            <w:r>
              <w:rPr>
                <w:b/>
                <w:i/>
                <w:sz w:val="22"/>
                <w:lang w:val="da-DK"/>
              </w:rPr>
              <w:t>værk)</w:t>
            </w:r>
          </w:p>
        </w:tc>
        <w:tc>
          <w:tcPr>
            <w:tcW w:w="1559" w:type="dxa"/>
          </w:tcPr>
          <w:p w:rsidR="004579B6" w:rsidRPr="004579B6" w:rsidRDefault="00BE2738" w:rsidP="004579B6">
            <w:pPr>
              <w:widowControl/>
              <w:autoSpaceDE/>
              <w:autoSpaceDN/>
              <w:adjustRightInd/>
              <w:jc w:val="right"/>
              <w:rPr>
                <w:b/>
                <w:sz w:val="22"/>
                <w:lang w:val="da-DK"/>
              </w:rPr>
            </w:pPr>
            <w:r>
              <w:rPr>
                <w:b/>
                <w:sz w:val="22"/>
                <w:lang w:val="da-DK"/>
              </w:rPr>
              <w:t>26,7</w:t>
            </w:r>
            <w:r w:rsidR="004579B6" w:rsidRPr="004579B6">
              <w:rPr>
                <w:b/>
                <w:sz w:val="22"/>
                <w:lang w:val="da-DK"/>
              </w:rPr>
              <w:t xml:space="preserve"> kg</w:t>
            </w:r>
          </w:p>
        </w:tc>
        <w:tc>
          <w:tcPr>
            <w:tcW w:w="1276" w:type="dxa"/>
          </w:tcPr>
          <w:p w:rsidR="004579B6" w:rsidRPr="004579B6" w:rsidRDefault="00D256E0" w:rsidP="004579B6">
            <w:pPr>
              <w:widowControl/>
              <w:autoSpaceDE/>
              <w:autoSpaceDN/>
              <w:adjustRightInd/>
              <w:jc w:val="right"/>
              <w:rPr>
                <w:b/>
                <w:sz w:val="22"/>
                <w:lang w:val="da-DK"/>
              </w:rPr>
            </w:pPr>
            <w:r>
              <w:rPr>
                <w:b/>
                <w:sz w:val="22"/>
                <w:lang w:val="da-DK"/>
              </w:rPr>
              <w:t xml:space="preserve">304 </w:t>
            </w:r>
            <w:proofErr w:type="spellStart"/>
            <w:r>
              <w:rPr>
                <w:b/>
                <w:sz w:val="22"/>
                <w:lang w:val="da-DK"/>
              </w:rPr>
              <w:t>stk</w:t>
            </w:r>
            <w:proofErr w:type="spellEnd"/>
            <w:r w:rsidR="00594947">
              <w:rPr>
                <w:b/>
                <w:sz w:val="22"/>
                <w:lang w:val="da-DK"/>
              </w:rPr>
              <w:t>***</w:t>
            </w:r>
          </w:p>
        </w:tc>
        <w:tc>
          <w:tcPr>
            <w:tcW w:w="1559" w:type="dxa"/>
          </w:tcPr>
          <w:p w:rsidR="004579B6" w:rsidRPr="004579B6" w:rsidRDefault="004579B6" w:rsidP="004579B6">
            <w:pPr>
              <w:widowControl/>
              <w:autoSpaceDE/>
              <w:autoSpaceDN/>
              <w:adjustRightInd/>
              <w:jc w:val="right"/>
              <w:rPr>
                <w:b/>
                <w:sz w:val="22"/>
                <w:lang w:val="da-DK"/>
              </w:rPr>
            </w:pPr>
            <w:r w:rsidRPr="004579B6">
              <w:rPr>
                <w:b/>
                <w:sz w:val="22"/>
                <w:lang w:val="da-DK"/>
              </w:rPr>
              <w:t xml:space="preserve">142.039 </w:t>
            </w:r>
            <w:proofErr w:type="spellStart"/>
            <w:r w:rsidRPr="004579B6">
              <w:rPr>
                <w:b/>
                <w:sz w:val="22"/>
                <w:lang w:val="da-DK"/>
              </w:rPr>
              <w:t>stk</w:t>
            </w:r>
            <w:proofErr w:type="spellEnd"/>
          </w:p>
        </w:tc>
        <w:tc>
          <w:tcPr>
            <w:tcW w:w="1418" w:type="dxa"/>
          </w:tcPr>
          <w:p w:rsidR="004579B6" w:rsidRPr="004579B6" w:rsidRDefault="004579B6" w:rsidP="004579B6">
            <w:pPr>
              <w:widowControl/>
              <w:autoSpaceDE/>
              <w:autoSpaceDN/>
              <w:adjustRightInd/>
              <w:jc w:val="right"/>
              <w:rPr>
                <w:b/>
                <w:sz w:val="22"/>
                <w:lang w:val="da-DK"/>
              </w:rPr>
            </w:pPr>
            <w:r w:rsidRPr="004579B6">
              <w:rPr>
                <w:b/>
                <w:sz w:val="22"/>
                <w:lang w:val="da-DK"/>
              </w:rPr>
              <w:t xml:space="preserve">1.142.000 </w:t>
            </w:r>
            <w:proofErr w:type="spellStart"/>
            <w:r w:rsidRPr="004579B6">
              <w:rPr>
                <w:b/>
                <w:sz w:val="22"/>
                <w:lang w:val="da-DK"/>
              </w:rPr>
              <w:t>kr</w:t>
            </w:r>
            <w:proofErr w:type="spellEnd"/>
          </w:p>
        </w:tc>
      </w:tr>
    </w:tbl>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287C09" w:rsidRDefault="00287C09">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4579B6" w:rsidRDefault="004579B6">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bCs/>
          <w:sz w:val="24"/>
          <w:lang w:val="da-DK"/>
        </w:rPr>
      </w:pPr>
    </w:p>
    <w:p w:rsidR="0028284F" w:rsidRDefault="00594947"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16"/>
          <w:szCs w:val="16"/>
          <w:lang w:val="da-DK"/>
        </w:rPr>
      </w:pPr>
      <w:r>
        <w:rPr>
          <w:sz w:val="16"/>
          <w:szCs w:val="16"/>
          <w:lang w:val="da-DK"/>
        </w:rPr>
        <w:t xml:space="preserve">* </w:t>
      </w:r>
      <w:r>
        <w:rPr>
          <w:sz w:val="16"/>
          <w:szCs w:val="16"/>
          <w:lang w:val="da-DK"/>
        </w:rPr>
        <w:tab/>
        <w:t>1</w:t>
      </w:r>
      <w:r w:rsidRPr="00985BDC">
        <w:rPr>
          <w:sz w:val="16"/>
          <w:szCs w:val="16"/>
          <w:lang w:val="da-DK"/>
        </w:rPr>
        <w:t>27</w:t>
      </w:r>
      <w:r w:rsidR="00985BDC" w:rsidRPr="00985BDC">
        <w:rPr>
          <w:sz w:val="16"/>
          <w:szCs w:val="16"/>
          <w:lang w:val="da-DK"/>
        </w:rPr>
        <w:t>stikvåben</w:t>
      </w:r>
      <w:r>
        <w:rPr>
          <w:sz w:val="16"/>
          <w:szCs w:val="16"/>
          <w:lang w:val="da-DK"/>
        </w:rPr>
        <w:t>,</w:t>
      </w:r>
      <w:r w:rsidR="00985BDC" w:rsidRPr="00985BDC">
        <w:rPr>
          <w:sz w:val="16"/>
          <w:szCs w:val="16"/>
          <w:lang w:val="da-DK"/>
        </w:rPr>
        <w:t xml:space="preserve"> </w:t>
      </w:r>
      <w:r>
        <w:rPr>
          <w:sz w:val="16"/>
          <w:szCs w:val="16"/>
          <w:lang w:val="da-DK"/>
        </w:rPr>
        <w:t>44</w:t>
      </w:r>
      <w:r w:rsidR="00985BDC">
        <w:rPr>
          <w:sz w:val="16"/>
          <w:szCs w:val="16"/>
          <w:lang w:val="da-DK"/>
        </w:rPr>
        <w:t xml:space="preserve"> slagvåben</w:t>
      </w:r>
      <w:r>
        <w:rPr>
          <w:sz w:val="16"/>
          <w:szCs w:val="16"/>
          <w:lang w:val="da-DK"/>
        </w:rPr>
        <w:t xml:space="preserve">, 3 skydevåben, 66 </w:t>
      </w:r>
      <w:r w:rsidR="00985BDC">
        <w:rPr>
          <w:sz w:val="16"/>
          <w:szCs w:val="16"/>
          <w:lang w:val="da-DK"/>
        </w:rPr>
        <w:t>andre våben</w:t>
      </w:r>
    </w:p>
    <w:p w:rsidR="00985BDC" w:rsidRPr="00985BDC" w:rsidRDefault="00985BDC"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16"/>
          <w:szCs w:val="16"/>
          <w:lang w:val="da-DK"/>
        </w:rPr>
      </w:pPr>
      <w:r>
        <w:rPr>
          <w:sz w:val="16"/>
          <w:szCs w:val="16"/>
          <w:lang w:val="da-DK"/>
        </w:rPr>
        <w:t>**</w:t>
      </w:r>
      <w:r w:rsidR="00594947">
        <w:rPr>
          <w:sz w:val="16"/>
          <w:szCs w:val="16"/>
          <w:lang w:val="da-DK"/>
        </w:rPr>
        <w:tab/>
        <w:t>33 stikvåben</w:t>
      </w:r>
      <w:r w:rsidR="00AB121A">
        <w:rPr>
          <w:sz w:val="16"/>
          <w:szCs w:val="16"/>
          <w:lang w:val="da-DK"/>
        </w:rPr>
        <w:t xml:space="preserve">, </w:t>
      </w:r>
      <w:r w:rsidR="00594947">
        <w:rPr>
          <w:sz w:val="16"/>
          <w:szCs w:val="16"/>
          <w:lang w:val="da-DK"/>
        </w:rPr>
        <w:t xml:space="preserve">11 </w:t>
      </w:r>
      <w:r w:rsidR="00AB121A">
        <w:rPr>
          <w:sz w:val="16"/>
          <w:szCs w:val="16"/>
          <w:lang w:val="da-DK"/>
        </w:rPr>
        <w:t>slagvåben,</w:t>
      </w:r>
      <w:r w:rsidR="00594947">
        <w:rPr>
          <w:sz w:val="16"/>
          <w:szCs w:val="16"/>
          <w:lang w:val="da-DK"/>
        </w:rPr>
        <w:t xml:space="preserve"> 9</w:t>
      </w:r>
      <w:r w:rsidR="00AB121A">
        <w:rPr>
          <w:sz w:val="16"/>
          <w:szCs w:val="16"/>
          <w:lang w:val="da-DK"/>
        </w:rPr>
        <w:t xml:space="preserve"> andre våben</w:t>
      </w:r>
    </w:p>
    <w:p w:rsidR="0028284F" w:rsidRDefault="001D7365"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16"/>
          <w:szCs w:val="16"/>
          <w:lang w:val="da-DK"/>
        </w:rPr>
      </w:pPr>
      <w:r>
        <w:rPr>
          <w:sz w:val="16"/>
          <w:szCs w:val="16"/>
          <w:lang w:val="da-DK"/>
        </w:rPr>
        <w:t>***</w:t>
      </w:r>
      <w:r>
        <w:rPr>
          <w:sz w:val="16"/>
          <w:szCs w:val="16"/>
          <w:lang w:val="da-DK"/>
        </w:rPr>
        <w:tab/>
        <w:t>For 2010 er beslagene ikke fordelt</w:t>
      </w:r>
      <w:r w:rsidR="00594947">
        <w:rPr>
          <w:sz w:val="16"/>
          <w:szCs w:val="16"/>
          <w:lang w:val="da-DK"/>
        </w:rPr>
        <w:t xml:space="preserve"> på våbentyper</w:t>
      </w:r>
    </w:p>
    <w:p w:rsidR="00594947" w:rsidRDefault="00594947"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
    <w:p w:rsidR="00D256E0" w:rsidRDefault="00356678"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r>
        <w:rPr>
          <w:sz w:val="24"/>
          <w:lang w:val="da-DK"/>
        </w:rPr>
        <w:t>Resultaterne viser udsving vedr.</w:t>
      </w:r>
      <w:r w:rsidR="00D256E0">
        <w:rPr>
          <w:sz w:val="24"/>
          <w:lang w:val="da-DK"/>
        </w:rPr>
        <w:t xml:space="preserve"> beslag af </w:t>
      </w:r>
      <w:r w:rsidR="00594947">
        <w:rPr>
          <w:sz w:val="24"/>
          <w:lang w:val="da-DK"/>
        </w:rPr>
        <w:t>cannabis/</w:t>
      </w:r>
      <w:proofErr w:type="spellStart"/>
      <w:r w:rsidR="00E9667C">
        <w:rPr>
          <w:sz w:val="24"/>
          <w:lang w:val="da-DK"/>
        </w:rPr>
        <w:t>khat</w:t>
      </w:r>
      <w:proofErr w:type="spellEnd"/>
      <w:r w:rsidR="00E9667C">
        <w:rPr>
          <w:sz w:val="24"/>
          <w:lang w:val="da-DK"/>
        </w:rPr>
        <w:t xml:space="preserve">, </w:t>
      </w:r>
      <w:r w:rsidR="00594947">
        <w:rPr>
          <w:sz w:val="24"/>
          <w:lang w:val="da-DK"/>
        </w:rPr>
        <w:t>som først og fremmest</w:t>
      </w:r>
      <w:r w:rsidR="0028284F">
        <w:rPr>
          <w:sz w:val="24"/>
          <w:lang w:val="da-DK"/>
        </w:rPr>
        <w:t xml:space="preserve"> skyldes</w:t>
      </w:r>
      <w:r w:rsidR="003D79C5">
        <w:rPr>
          <w:sz w:val="24"/>
          <w:lang w:val="da-DK"/>
        </w:rPr>
        <w:t xml:space="preserve"> et</w:t>
      </w:r>
      <w:r w:rsidR="0028284F">
        <w:rPr>
          <w:sz w:val="24"/>
          <w:lang w:val="da-DK"/>
        </w:rPr>
        <w:t xml:space="preserve"> enkeltstående beslag</w:t>
      </w:r>
      <w:r w:rsidR="00D256E0">
        <w:rPr>
          <w:sz w:val="24"/>
          <w:lang w:val="da-DK"/>
        </w:rPr>
        <w:t xml:space="preserve"> af </w:t>
      </w:r>
      <w:proofErr w:type="spellStart"/>
      <w:r w:rsidR="00D256E0">
        <w:rPr>
          <w:sz w:val="24"/>
          <w:lang w:val="da-DK"/>
        </w:rPr>
        <w:t>khat</w:t>
      </w:r>
      <w:proofErr w:type="spellEnd"/>
      <w:r w:rsidR="00D256E0">
        <w:rPr>
          <w:sz w:val="24"/>
          <w:lang w:val="da-DK"/>
        </w:rPr>
        <w:t xml:space="preserve"> på 3.156 kg</w:t>
      </w:r>
      <w:r w:rsidR="0028284F">
        <w:rPr>
          <w:sz w:val="24"/>
          <w:lang w:val="da-DK"/>
        </w:rPr>
        <w:t xml:space="preserve"> i september måned</w:t>
      </w:r>
      <w:r w:rsidR="006A12AF">
        <w:rPr>
          <w:sz w:val="24"/>
          <w:lang w:val="da-DK"/>
        </w:rPr>
        <w:t xml:space="preserve"> 2011</w:t>
      </w:r>
      <w:r w:rsidR="0028284F">
        <w:rPr>
          <w:sz w:val="24"/>
          <w:lang w:val="da-DK"/>
        </w:rPr>
        <w:t>.</w:t>
      </w:r>
      <w:r w:rsidR="003D79C5">
        <w:rPr>
          <w:sz w:val="24"/>
          <w:lang w:val="da-DK"/>
        </w:rPr>
        <w:t xml:space="preserve"> </w:t>
      </w:r>
      <w:r w:rsidR="00594947">
        <w:rPr>
          <w:sz w:val="24"/>
          <w:lang w:val="da-DK"/>
        </w:rPr>
        <w:t xml:space="preserve">For våben ses, at der ikke </w:t>
      </w:r>
      <w:r w:rsidR="00D256E0">
        <w:rPr>
          <w:sz w:val="24"/>
          <w:lang w:val="da-DK"/>
        </w:rPr>
        <w:t>er nævneværdig forskel på resultaterne i de sammenlignede perioder i 2011 og 2010. Result</w:t>
      </w:r>
      <w:r w:rsidR="00D256E0">
        <w:rPr>
          <w:sz w:val="24"/>
          <w:lang w:val="da-DK"/>
        </w:rPr>
        <w:t>a</w:t>
      </w:r>
      <w:r w:rsidR="00D256E0">
        <w:rPr>
          <w:sz w:val="24"/>
          <w:lang w:val="da-DK"/>
        </w:rPr>
        <w:t xml:space="preserve">tet er </w:t>
      </w:r>
      <w:proofErr w:type="spellStart"/>
      <w:r w:rsidR="00D256E0">
        <w:rPr>
          <w:sz w:val="24"/>
          <w:lang w:val="da-DK"/>
        </w:rPr>
        <w:t>fsv</w:t>
      </w:r>
      <w:proofErr w:type="spellEnd"/>
      <w:r w:rsidR="00D256E0">
        <w:rPr>
          <w:sz w:val="24"/>
          <w:lang w:val="da-DK"/>
        </w:rPr>
        <w:t xml:space="preserve"> angår lægemidler gået tilbage i 2011 til trods for den styrkede indsats.</w:t>
      </w:r>
      <w:r w:rsidR="00D256E0" w:rsidRPr="00D256E0">
        <w:rPr>
          <w:sz w:val="24"/>
          <w:lang w:val="da-DK"/>
        </w:rPr>
        <w:t xml:space="preserve"> </w:t>
      </w:r>
    </w:p>
    <w:p w:rsidR="00D256E0" w:rsidRDefault="00D256E0"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
    <w:p w:rsidR="00D256E0" w:rsidRDefault="00D256E0"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roofErr w:type="spellStart"/>
      <w:r>
        <w:rPr>
          <w:sz w:val="24"/>
          <w:lang w:val="da-DK"/>
        </w:rPr>
        <w:lastRenderedPageBreak/>
        <w:t>Fsv</w:t>
      </w:r>
      <w:proofErr w:type="spellEnd"/>
      <w:r>
        <w:rPr>
          <w:sz w:val="24"/>
          <w:lang w:val="da-DK"/>
        </w:rPr>
        <w:t xml:space="preserve"> angår beslaglagte pengebeløb har der vist sig en markant effekt. SKAT har siden 1. januar 2011 haft øget fokus på dette område og styrket indsatsen betydeligt overfor ikke angivne pengebeløb ved ind- og udførsel. Den generelle indsats vedr. ind- og udførsel af penge i 2011 har således betydet en markant stigning i beslagene.</w:t>
      </w:r>
    </w:p>
    <w:p w:rsidR="0028284F" w:rsidRDefault="0028284F"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
    <w:p w:rsidR="00C139E4" w:rsidRDefault="00D256E0"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r>
        <w:rPr>
          <w:sz w:val="24"/>
          <w:lang w:val="da-DK"/>
        </w:rPr>
        <w:t>Den samlede vurdering er, at den øgede indsats i perioden juli-september 2011 ikke i sig selv har givet en nævneværdig forøgelse af beslaglagte varer mv</w:t>
      </w:r>
      <w:r w:rsidR="00C139E4">
        <w:rPr>
          <w:sz w:val="24"/>
          <w:lang w:val="da-DK"/>
        </w:rPr>
        <w:t>.</w:t>
      </w:r>
    </w:p>
    <w:p w:rsidR="00C139E4" w:rsidRDefault="00C139E4"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
    <w:p w:rsidR="00D256E0" w:rsidRDefault="00C139E4"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r>
        <w:rPr>
          <w:sz w:val="24"/>
          <w:lang w:val="da-DK"/>
        </w:rPr>
        <w:t>D</w:t>
      </w:r>
      <w:r w:rsidR="00D256E0">
        <w:rPr>
          <w:sz w:val="24"/>
          <w:lang w:val="da-DK"/>
        </w:rPr>
        <w:t>et kan</w:t>
      </w:r>
      <w:r>
        <w:rPr>
          <w:sz w:val="24"/>
          <w:lang w:val="da-DK"/>
        </w:rPr>
        <w:t xml:space="preserve"> dog</w:t>
      </w:r>
      <w:r w:rsidR="00D256E0">
        <w:rPr>
          <w:sz w:val="24"/>
          <w:lang w:val="da-DK"/>
        </w:rPr>
        <w:t xml:space="preserve"> ikke udelukkes, at </w:t>
      </w:r>
      <w:r>
        <w:rPr>
          <w:sz w:val="24"/>
          <w:lang w:val="da-DK"/>
        </w:rPr>
        <w:t>den megen presseomtale mv. har påvirket ”lysten” til at fors</w:t>
      </w:r>
      <w:r>
        <w:rPr>
          <w:sz w:val="24"/>
          <w:lang w:val="da-DK"/>
        </w:rPr>
        <w:t>ø</w:t>
      </w:r>
      <w:r>
        <w:rPr>
          <w:sz w:val="24"/>
          <w:lang w:val="da-DK"/>
        </w:rPr>
        <w:t>ge smugling, og at der vurdere</w:t>
      </w:r>
      <w:r w:rsidR="00622787">
        <w:rPr>
          <w:sz w:val="24"/>
          <w:lang w:val="da-DK"/>
        </w:rPr>
        <w:t>t i det lys har været en præventiv</w:t>
      </w:r>
      <w:r>
        <w:rPr>
          <w:sz w:val="24"/>
          <w:lang w:val="da-DK"/>
        </w:rPr>
        <w:t xml:space="preserve"> effekt.</w:t>
      </w:r>
    </w:p>
    <w:p w:rsidR="00C139E4" w:rsidRDefault="00C139E4"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
    <w:p w:rsidR="00841477" w:rsidRDefault="00841477"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
    <w:p w:rsidR="00841477" w:rsidRDefault="00841477" w:rsidP="000949B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rPr>
          <w:sz w:val="24"/>
          <w:lang w:val="da-DK"/>
        </w:rPr>
      </w:pPr>
    </w:p>
    <w:sectPr w:rsidR="00841477" w:rsidSect="00267CC7">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code="9"/>
      <w:pgMar w:top="1418" w:right="1418" w:bottom="1418" w:left="1418" w:header="567" w:footer="567" w:gutter="0"/>
      <w:paperSrc w:first="256" w:other="256"/>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A6" w:rsidRDefault="00481DA6">
      <w:r>
        <w:separator/>
      </w:r>
    </w:p>
  </w:endnote>
  <w:endnote w:type="continuationSeparator" w:id="0">
    <w:p w:rsidR="00481DA6" w:rsidRDefault="0048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90" w:rsidRDefault="00A94F90">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766584"/>
      <w:docPartObj>
        <w:docPartGallery w:val="Page Numbers (Bottom of Page)"/>
        <w:docPartUnique/>
      </w:docPartObj>
    </w:sdtPr>
    <w:sdtEndPr>
      <w:rPr>
        <w:sz w:val="20"/>
        <w:szCs w:val="20"/>
      </w:rPr>
    </w:sdtEndPr>
    <w:sdtContent>
      <w:p w:rsidR="00A94F90" w:rsidRPr="00074EC3" w:rsidRDefault="00A94F90">
        <w:pPr>
          <w:pStyle w:val="Sidefod"/>
          <w:rPr>
            <w:sz w:val="20"/>
            <w:szCs w:val="20"/>
          </w:rPr>
        </w:pPr>
        <w:r w:rsidRPr="00074EC3">
          <w:rPr>
            <w:sz w:val="20"/>
            <w:szCs w:val="20"/>
          </w:rPr>
          <w:fldChar w:fldCharType="begin"/>
        </w:r>
        <w:r w:rsidRPr="00074EC3">
          <w:rPr>
            <w:sz w:val="20"/>
            <w:szCs w:val="20"/>
          </w:rPr>
          <w:instrText>PAGE   \* MERGEFORMAT</w:instrText>
        </w:r>
        <w:r w:rsidRPr="00074EC3">
          <w:rPr>
            <w:sz w:val="20"/>
            <w:szCs w:val="20"/>
          </w:rPr>
          <w:fldChar w:fldCharType="separate"/>
        </w:r>
        <w:r w:rsidR="004B621D" w:rsidRPr="004B621D">
          <w:rPr>
            <w:noProof/>
            <w:sz w:val="20"/>
            <w:szCs w:val="20"/>
            <w:lang w:val="da-DK"/>
          </w:rPr>
          <w:t>2</w:t>
        </w:r>
        <w:r w:rsidRPr="00074EC3">
          <w:rPr>
            <w:sz w:val="20"/>
            <w:szCs w:val="20"/>
          </w:rPr>
          <w:fldChar w:fldCharType="end"/>
        </w:r>
      </w:p>
    </w:sdtContent>
  </w:sdt>
  <w:p w:rsidR="0098019D" w:rsidRDefault="0098019D">
    <w:pPr>
      <w:pStyle w:val="Sidefod"/>
      <w:tabs>
        <w:tab w:val="left" w:pos="8222"/>
      </w:tabs>
      <w:rPr>
        <w:sz w:val="18"/>
        <w:lang w:val="da-D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9D" w:rsidRDefault="0098019D">
    <w:pPr>
      <w:pStyle w:val="Sidefod"/>
      <w:jc w:val="left"/>
      <w:rPr>
        <w:lang w:val="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A6" w:rsidRDefault="00481DA6">
      <w:r>
        <w:separator/>
      </w:r>
    </w:p>
  </w:footnote>
  <w:footnote w:type="continuationSeparator" w:id="0">
    <w:p w:rsidR="00481DA6" w:rsidRDefault="00481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90" w:rsidRDefault="00A94F90">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9D" w:rsidRDefault="0098019D">
    <w:pPr>
      <w:pStyle w:val="Sidehoved"/>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9D" w:rsidRDefault="0098019D">
    <w:pPr>
      <w:pStyle w:val="Sidehoved"/>
      <w:jc w:val="right"/>
    </w:pPr>
    <w:r>
      <w:rPr>
        <w:noProof/>
        <w:lang w:val="da-DK"/>
      </w:rPr>
      <w:drawing>
        <wp:inline distT="0" distB="0" distL="0" distR="0" wp14:anchorId="1D048806" wp14:editId="51E320D3">
          <wp:extent cx="2838450" cy="838200"/>
          <wp:effectExtent l="0" t="0" r="0" b="0"/>
          <wp:docPr id="1" name="Billede 1" descr="SKM_SORT10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M_SORT10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284"/>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886D63"/>
    <w:rsid w:val="0002763E"/>
    <w:rsid w:val="00065E03"/>
    <w:rsid w:val="00074EC3"/>
    <w:rsid w:val="000941A0"/>
    <w:rsid w:val="000949B7"/>
    <w:rsid w:val="000A67BD"/>
    <w:rsid w:val="000E2054"/>
    <w:rsid w:val="000F2047"/>
    <w:rsid w:val="00125F89"/>
    <w:rsid w:val="00135AEA"/>
    <w:rsid w:val="00151D41"/>
    <w:rsid w:val="00190D38"/>
    <w:rsid w:val="001A0049"/>
    <w:rsid w:val="001A69A3"/>
    <w:rsid w:val="001D7365"/>
    <w:rsid w:val="0020232E"/>
    <w:rsid w:val="00235B39"/>
    <w:rsid w:val="002542D3"/>
    <w:rsid w:val="00267CC7"/>
    <w:rsid w:val="0028284F"/>
    <w:rsid w:val="00287C09"/>
    <w:rsid w:val="0034533F"/>
    <w:rsid w:val="00346D18"/>
    <w:rsid w:val="00356678"/>
    <w:rsid w:val="003D79C5"/>
    <w:rsid w:val="003D7D40"/>
    <w:rsid w:val="003E4BB3"/>
    <w:rsid w:val="00454432"/>
    <w:rsid w:val="004579B6"/>
    <w:rsid w:val="00470C05"/>
    <w:rsid w:val="00475BCD"/>
    <w:rsid w:val="00481DA6"/>
    <w:rsid w:val="00493ACA"/>
    <w:rsid w:val="004A46FE"/>
    <w:rsid w:val="004A77E5"/>
    <w:rsid w:val="004B621D"/>
    <w:rsid w:val="004C68BF"/>
    <w:rsid w:val="005456CC"/>
    <w:rsid w:val="00594947"/>
    <w:rsid w:val="00602321"/>
    <w:rsid w:val="00622787"/>
    <w:rsid w:val="00624960"/>
    <w:rsid w:val="00670C0E"/>
    <w:rsid w:val="006A12AF"/>
    <w:rsid w:val="006A2960"/>
    <w:rsid w:val="006A4CC5"/>
    <w:rsid w:val="006D2B67"/>
    <w:rsid w:val="006F5F00"/>
    <w:rsid w:val="007027A9"/>
    <w:rsid w:val="007262BD"/>
    <w:rsid w:val="007279BA"/>
    <w:rsid w:val="007D5A01"/>
    <w:rsid w:val="007F0804"/>
    <w:rsid w:val="007F67CE"/>
    <w:rsid w:val="00841477"/>
    <w:rsid w:val="00862BE7"/>
    <w:rsid w:val="00874F2E"/>
    <w:rsid w:val="00886D63"/>
    <w:rsid w:val="008A3CE8"/>
    <w:rsid w:val="008D4446"/>
    <w:rsid w:val="008D44AD"/>
    <w:rsid w:val="008F76B9"/>
    <w:rsid w:val="00920D0F"/>
    <w:rsid w:val="009729A6"/>
    <w:rsid w:val="0098019D"/>
    <w:rsid w:val="00985BDC"/>
    <w:rsid w:val="009A70DD"/>
    <w:rsid w:val="00A514C7"/>
    <w:rsid w:val="00A564C8"/>
    <w:rsid w:val="00A642C1"/>
    <w:rsid w:val="00A9006B"/>
    <w:rsid w:val="00A93BCA"/>
    <w:rsid w:val="00A94F90"/>
    <w:rsid w:val="00A9531B"/>
    <w:rsid w:val="00A95B43"/>
    <w:rsid w:val="00AB121A"/>
    <w:rsid w:val="00AB425D"/>
    <w:rsid w:val="00AC2413"/>
    <w:rsid w:val="00AE3653"/>
    <w:rsid w:val="00AF0E4A"/>
    <w:rsid w:val="00AF2B11"/>
    <w:rsid w:val="00B76A3E"/>
    <w:rsid w:val="00BE2738"/>
    <w:rsid w:val="00C139E4"/>
    <w:rsid w:val="00C2129A"/>
    <w:rsid w:val="00CD6991"/>
    <w:rsid w:val="00D07864"/>
    <w:rsid w:val="00D16660"/>
    <w:rsid w:val="00D23C76"/>
    <w:rsid w:val="00D24F49"/>
    <w:rsid w:val="00D256E0"/>
    <w:rsid w:val="00DA74E9"/>
    <w:rsid w:val="00DC202F"/>
    <w:rsid w:val="00DD0258"/>
    <w:rsid w:val="00E07E2E"/>
    <w:rsid w:val="00E07F1A"/>
    <w:rsid w:val="00E13F78"/>
    <w:rsid w:val="00E92B6D"/>
    <w:rsid w:val="00E9667C"/>
    <w:rsid w:val="00EE4A37"/>
    <w:rsid w:val="00F019F5"/>
    <w:rsid w:val="00F158D1"/>
    <w:rsid w:val="00F33A29"/>
    <w:rsid w:val="00F353D7"/>
    <w:rsid w:val="00F616E0"/>
    <w:rsid w:val="00F7459A"/>
    <w:rsid w:val="00F76ADB"/>
    <w:rsid w:val="00FC5A6F"/>
    <w:rsid w:val="00FC5F61"/>
    <w:rsid w:val="00FD5CD2"/>
    <w:rsid w:val="00FF56F0"/>
    <w:rsid w:val="00FF7F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19D"/>
    <w:pPr>
      <w:widowControl w:val="0"/>
      <w:autoSpaceDE w:val="0"/>
      <w:autoSpaceDN w:val="0"/>
      <w:adjustRightInd w:val="0"/>
      <w:jc w:val="both"/>
    </w:pPr>
    <w:rPr>
      <w:sz w:val="23"/>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semiHidden/>
    <w:rsid w:val="00267CC7"/>
  </w:style>
  <w:style w:type="paragraph" w:styleId="Sidehoved">
    <w:name w:val="header"/>
    <w:basedOn w:val="Normal"/>
    <w:rsid w:val="00267CC7"/>
    <w:pPr>
      <w:tabs>
        <w:tab w:val="center" w:pos="4819"/>
        <w:tab w:val="right" w:pos="9638"/>
      </w:tabs>
    </w:pPr>
  </w:style>
  <w:style w:type="paragraph" w:styleId="Sidefod">
    <w:name w:val="footer"/>
    <w:basedOn w:val="Normal"/>
    <w:link w:val="SidefodTegn"/>
    <w:uiPriority w:val="99"/>
    <w:rsid w:val="00267CC7"/>
    <w:pPr>
      <w:tabs>
        <w:tab w:val="center" w:pos="4819"/>
        <w:tab w:val="right" w:pos="9638"/>
      </w:tabs>
    </w:pPr>
  </w:style>
  <w:style w:type="character" w:styleId="Sidetal">
    <w:name w:val="page number"/>
    <w:basedOn w:val="Standardskrifttypeiafsnit"/>
    <w:rsid w:val="00267CC7"/>
  </w:style>
  <w:style w:type="paragraph" w:styleId="Brdtekst">
    <w:name w:val="Body Text"/>
    <w:basedOn w:val="Normal"/>
    <w:rsid w:val="00267CC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Pr>
      <w:i/>
      <w:iCs/>
      <w:sz w:val="22"/>
      <w:lang w:val="da-DK"/>
    </w:rPr>
  </w:style>
  <w:style w:type="paragraph" w:customStyle="1" w:styleId="Fed11">
    <w:name w:val="Fed11"/>
    <w:aliases w:val="5"/>
    <w:basedOn w:val="Normal"/>
    <w:autoRedefine/>
    <w:rsid w:val="007D5A01"/>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pPr>
    <w:rPr>
      <w:lang w:val="da-DK"/>
    </w:rPr>
  </w:style>
  <w:style w:type="paragraph" w:customStyle="1" w:styleId="Regular">
    <w:name w:val="Regular"/>
    <w:basedOn w:val="Normal"/>
    <w:autoRedefine/>
    <w:rsid w:val="00267CC7"/>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Pr>
      <w:bCs/>
      <w:lang w:val="da-DK"/>
    </w:rPr>
  </w:style>
  <w:style w:type="paragraph" w:styleId="Markeringsbobletekst">
    <w:name w:val="Balloon Text"/>
    <w:basedOn w:val="Normal"/>
    <w:semiHidden/>
    <w:rsid w:val="00AC2413"/>
    <w:rPr>
      <w:rFonts w:ascii="Tahoma" w:hAnsi="Tahoma" w:cs="Tahoma"/>
      <w:sz w:val="16"/>
      <w:szCs w:val="16"/>
    </w:rPr>
  </w:style>
  <w:style w:type="table" w:styleId="Tabel-Gitter">
    <w:name w:val="Table Grid"/>
    <w:basedOn w:val="Tabel-Normal"/>
    <w:rsid w:val="00454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itter1">
    <w:name w:val="Tabel - Gitter1"/>
    <w:basedOn w:val="Tabel-Normal"/>
    <w:next w:val="Tabel-Gitter"/>
    <w:uiPriority w:val="59"/>
    <w:rsid w:val="004579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594947"/>
    <w:pPr>
      <w:ind w:left="720"/>
      <w:contextualSpacing/>
    </w:pPr>
  </w:style>
  <w:style w:type="character" w:customStyle="1" w:styleId="SidefodTegn">
    <w:name w:val="Sidefod Tegn"/>
    <w:basedOn w:val="Standardskrifttypeiafsnit"/>
    <w:link w:val="Sidefod"/>
    <w:uiPriority w:val="99"/>
    <w:rsid w:val="00A94F90"/>
    <w:rPr>
      <w:sz w:val="23"/>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19D"/>
    <w:pPr>
      <w:widowControl w:val="0"/>
      <w:autoSpaceDE w:val="0"/>
      <w:autoSpaceDN w:val="0"/>
      <w:adjustRightInd w:val="0"/>
      <w:jc w:val="both"/>
    </w:pPr>
    <w:rPr>
      <w:sz w:val="23"/>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semiHidden/>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Brdtekst">
    <w:name w:val="Body Text"/>
    <w:basedOn w:val="Normal"/>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Pr>
      <w:i/>
      <w:iCs/>
      <w:sz w:val="22"/>
      <w:lang w:val="da-DK"/>
    </w:rPr>
  </w:style>
  <w:style w:type="paragraph" w:customStyle="1" w:styleId="Fed11">
    <w:name w:val="Fed11"/>
    <w:aliases w:val="5"/>
    <w:basedOn w:val="Normal"/>
    <w:autoRedefine/>
    <w:rsid w:val="007D5A01"/>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left"/>
    </w:pPr>
    <w:rPr>
      <w:lang w:val="da-DK"/>
    </w:rPr>
  </w:style>
  <w:style w:type="paragraph" w:customStyle="1" w:styleId="Regular">
    <w:name w:val="Regular"/>
    <w:basedOn w:val="Normal"/>
    <w:autoRedefine/>
    <w:pPr>
      <w:widowControl/>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rPr>
      <w:bCs/>
      <w:lang w:val="da-DK"/>
    </w:rPr>
  </w:style>
  <w:style w:type="paragraph" w:styleId="Markeringsbobletekst">
    <w:name w:val="Balloon Text"/>
    <w:basedOn w:val="Normal"/>
    <w:semiHidden/>
    <w:rsid w:val="00AC2413"/>
    <w:rPr>
      <w:rFonts w:ascii="Tahoma" w:hAnsi="Tahoma" w:cs="Tahoma"/>
      <w:sz w:val="16"/>
      <w:szCs w:val="16"/>
    </w:rPr>
  </w:style>
  <w:style w:type="table" w:styleId="Tabel-Gitter">
    <w:name w:val="Table Grid"/>
    <w:basedOn w:val="Tabel-Normal"/>
    <w:rsid w:val="00454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itter1">
    <w:name w:val="Tabel - Gitter1"/>
    <w:basedOn w:val="Tabel-Normal"/>
    <w:next w:val="Tabel-Gitter"/>
    <w:uiPriority w:val="59"/>
    <w:rsid w:val="004579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594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t\skabeloner2010\minister\GulForsid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GulForside</Template>
  <TotalTime>0</TotalTime>
  <Pages>2</Pages>
  <Words>370</Words>
  <Characters>2019</Characters>
  <Application>Microsoft Office Word</Application>
  <DocSecurity>0</DocSecurity>
  <Lines>84</Lines>
  <Paragraphs>39</Paragraphs>
  <ScaleCrop>false</ScaleCrop>
  <HeadingPairs>
    <vt:vector size="2" baseType="variant">
      <vt:variant>
        <vt:lpstr>Titel</vt:lpstr>
      </vt:variant>
      <vt:variant>
        <vt:i4>1</vt:i4>
      </vt:variant>
    </vt:vector>
  </HeadingPairs>
  <TitlesOfParts>
    <vt:vector size="1" baseType="lpstr">
      <vt:lpstr/>
    </vt:vector>
  </TitlesOfParts>
  <Company>Skatteministeriet</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Poul J. Jespersen</dc:creator>
  <cp:lastModifiedBy>Marianne Hansen</cp:lastModifiedBy>
  <cp:revision>2</cp:revision>
  <cp:lastPrinted>2005-04-08T11:48:00Z</cp:lastPrinted>
  <dcterms:created xsi:type="dcterms:W3CDTF">2011-11-14T13:15:00Z</dcterms:created>
  <dcterms:modified xsi:type="dcterms:W3CDTF">2011-11-14T13:15:00Z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C:\DOCUME~1\w06658\LOKALE~1\Temp\SJ20100310114118784 [316775].DOC</vt:lpwstr>
  </property>
  <property fmtid="{D5CDD505-2E9C-101B-9397-08002B2CF9AE}" pid="3" name="title">
    <vt:lpwstr>gul</vt:lpwstr>
  </property>
  <property fmtid="{D5CDD505-2E9C-101B-9397-08002B2CF9AE}" pid="4" name="_NewReviewCycle">
    <vt:lpwstr/>
  </property>
</Properties>
</file>